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83" w:rsidRPr="00F43EAF" w:rsidRDefault="007A4183" w:rsidP="00F9610C">
      <w:pPr>
        <w:jc w:val="center"/>
        <w:rPr>
          <w:sz w:val="14"/>
        </w:rPr>
      </w:pPr>
    </w:p>
    <w:p w:rsidR="007A4183" w:rsidRPr="006171CB" w:rsidRDefault="007A4183" w:rsidP="00F9610C">
      <w:pPr>
        <w:rPr>
          <w:sz w:val="2"/>
        </w:rPr>
      </w:pPr>
      <w:r>
        <w:t xml:space="preserve">                              </w:t>
      </w:r>
    </w:p>
    <w:tbl>
      <w:tblPr>
        <w:tblpPr w:leftFromText="180" w:rightFromText="180" w:vertAnchor="text" w:horzAnchor="margin" w:tblpX="40" w:tblpY="-144"/>
        <w:tblOverlap w:val="never"/>
        <w:tblW w:w="9180" w:type="dxa"/>
        <w:tblLook w:val="01E0"/>
      </w:tblPr>
      <w:tblGrid>
        <w:gridCol w:w="3227"/>
        <w:gridCol w:w="5953"/>
      </w:tblGrid>
      <w:tr w:rsidR="007A4183" w:rsidRPr="00A56EFC" w:rsidTr="004556A4">
        <w:trPr>
          <w:trHeight w:val="1138"/>
        </w:trPr>
        <w:tc>
          <w:tcPr>
            <w:tcW w:w="3227" w:type="dxa"/>
          </w:tcPr>
          <w:p w:rsidR="007A4183" w:rsidRPr="00C4115F" w:rsidRDefault="007A4183" w:rsidP="00F36549">
            <w:pPr>
              <w:jc w:val="center"/>
              <w:rPr>
                <w:b/>
                <w:sz w:val="26"/>
                <w:lang w:val="en-US"/>
              </w:rPr>
            </w:pPr>
            <w:r w:rsidRPr="00C4115F">
              <w:rPr>
                <w:b/>
                <w:sz w:val="26"/>
                <w:lang w:val="en-US"/>
              </w:rPr>
              <w:t>ỦY BAN NHÂN DÂN</w:t>
            </w:r>
          </w:p>
          <w:p w:rsidR="007A4183" w:rsidRPr="00C84522" w:rsidRDefault="007A4183" w:rsidP="00F36549">
            <w:pPr>
              <w:jc w:val="center"/>
              <w:rPr>
                <w:b/>
                <w:sz w:val="26"/>
                <w:lang w:val="en-US"/>
              </w:rPr>
            </w:pPr>
            <w:r w:rsidRPr="00C84522">
              <w:rPr>
                <w:b/>
                <w:sz w:val="26"/>
                <w:lang w:val="en-US"/>
              </w:rPr>
              <w:t>TỈNH QUẢNG BÌNH</w:t>
            </w:r>
          </w:p>
          <w:p w:rsidR="007A4183" w:rsidRPr="00755399" w:rsidRDefault="00024397" w:rsidP="00F36549">
            <w:pPr>
              <w:rPr>
                <w:b/>
                <w:sz w:val="6"/>
                <w:lang w:val="en-US"/>
              </w:rPr>
            </w:pPr>
            <w:r w:rsidRPr="00024397">
              <w:rPr>
                <w:noProof/>
                <w:lang w:val="en-US" w:eastAsia="en-US"/>
              </w:rPr>
              <w:pict>
                <v:line id="Straight Connector 2" o:spid="_x0000_s1026" style="position:absolute;z-index:251658240;visibility:visible" from="54.7pt,1.35pt" to="1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"/>
              </w:pict>
            </w:r>
          </w:p>
          <w:p w:rsidR="007A4183" w:rsidRPr="00755399" w:rsidRDefault="007A4183" w:rsidP="00F36549">
            <w:pPr>
              <w:rPr>
                <w:sz w:val="8"/>
                <w:lang w:val="en-US"/>
              </w:rPr>
            </w:pPr>
          </w:p>
          <w:p w:rsidR="007A4183" w:rsidRPr="004556A4" w:rsidRDefault="007A4183" w:rsidP="00F36549">
            <w:pPr>
              <w:jc w:val="center"/>
              <w:rPr>
                <w:sz w:val="26"/>
                <w:lang w:val="en-US"/>
              </w:rPr>
            </w:pPr>
            <w:r w:rsidRPr="00B47B8B">
              <w:rPr>
                <w:sz w:val="26"/>
              </w:rPr>
              <w:t xml:space="preserve">Số: </w:t>
            </w:r>
            <w:r>
              <w:rPr>
                <w:sz w:val="26"/>
                <w:lang w:val="en-US"/>
              </w:rPr>
              <w:t>289</w:t>
            </w:r>
            <w:r w:rsidRPr="00B47B8B">
              <w:rPr>
                <w:sz w:val="26"/>
              </w:rPr>
              <w:t>/</w:t>
            </w:r>
            <w:r>
              <w:rPr>
                <w:sz w:val="26"/>
                <w:lang w:val="en-US"/>
              </w:rPr>
              <w:t>BC-</w:t>
            </w:r>
            <w:r>
              <w:rPr>
                <w:sz w:val="26"/>
              </w:rPr>
              <w:t>UBN</w:t>
            </w:r>
            <w:r>
              <w:rPr>
                <w:sz w:val="26"/>
                <w:lang w:val="en-US"/>
              </w:rPr>
              <w:t>D</w:t>
            </w:r>
          </w:p>
          <w:p w:rsidR="007A4183" w:rsidRPr="00975AA0" w:rsidRDefault="007A4183" w:rsidP="00F36549">
            <w:pPr>
              <w:jc w:val="center"/>
              <w:rPr>
                <w:sz w:val="2"/>
                <w:lang w:val="en-US"/>
              </w:rPr>
            </w:pPr>
          </w:p>
          <w:p w:rsidR="007A4183" w:rsidRPr="00975AA0" w:rsidRDefault="007A4183" w:rsidP="004556A4">
            <w:pPr>
              <w:jc w:val="center"/>
              <w:rPr>
                <w:sz w:val="24"/>
                <w:szCs w:val="24"/>
              </w:rPr>
            </w:pPr>
          </w:p>
        </w:tc>
        <w:tc>
          <w:tcPr>
            <w:tcW w:w="5953" w:type="dxa"/>
          </w:tcPr>
          <w:p w:rsidR="007A4183" w:rsidRPr="00F9610C" w:rsidRDefault="007A4183" w:rsidP="00F36549">
            <w:pPr>
              <w:jc w:val="center"/>
              <w:rPr>
                <w:b/>
                <w:sz w:val="26"/>
                <w:szCs w:val="26"/>
              </w:rPr>
            </w:pPr>
            <w:r w:rsidRPr="00F9610C">
              <w:rPr>
                <w:b/>
                <w:sz w:val="26"/>
                <w:szCs w:val="26"/>
              </w:rPr>
              <w:t>CỘNG HOÀ XÃ HỘI CHỦ NGHĨA VIỆT NAM</w:t>
            </w:r>
          </w:p>
          <w:p w:rsidR="007A4183" w:rsidRPr="003409DD" w:rsidRDefault="007A4183" w:rsidP="00F36549">
            <w:pPr>
              <w:jc w:val="center"/>
              <w:rPr>
                <w:b/>
              </w:rPr>
            </w:pPr>
            <w:r w:rsidRPr="003409DD">
              <w:rPr>
                <w:b/>
              </w:rPr>
              <w:t>Ðộc lập - Tự do - Hạnh Phúc</w:t>
            </w:r>
          </w:p>
          <w:p w:rsidR="007A4183" w:rsidRPr="00755399" w:rsidRDefault="00024397" w:rsidP="00F36549">
            <w:pPr>
              <w:jc w:val="center"/>
              <w:rPr>
                <w:b/>
                <w:sz w:val="10"/>
              </w:rPr>
            </w:pPr>
            <w:r w:rsidRPr="00024397">
              <w:rPr>
                <w:noProof/>
                <w:lang w:val="en-US" w:eastAsia="en-US"/>
              </w:rPr>
              <w:pict>
                <v:line id="Straight Connector 1" o:spid="_x0000_s1027" style="position:absolute;left:0;text-align:left;z-index:251659264;visibility:visible" from="85.6pt,.25pt" to="19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wt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PF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"/>
              </w:pict>
            </w:r>
          </w:p>
          <w:p w:rsidR="007A4183" w:rsidRPr="0035403B" w:rsidRDefault="007A4183" w:rsidP="00177A78">
            <w:pPr>
              <w:jc w:val="right"/>
              <w:rPr>
                <w:i/>
                <w:sz w:val="26"/>
                <w:szCs w:val="26"/>
                <w:lang w:val="en-US"/>
              </w:rPr>
            </w:pPr>
            <w:r>
              <w:rPr>
                <w:i/>
              </w:rPr>
              <w:t xml:space="preserve">  </w:t>
            </w:r>
            <w:r>
              <w:rPr>
                <w:i/>
                <w:lang w:val="en-US"/>
              </w:rPr>
              <w:t xml:space="preserve">   </w:t>
            </w:r>
            <w:r>
              <w:rPr>
                <w:i/>
              </w:rPr>
              <w:t xml:space="preserve"> </w:t>
            </w:r>
            <w:r>
              <w:rPr>
                <w:i/>
                <w:lang w:val="en-US"/>
              </w:rPr>
              <w:t xml:space="preserve"> </w:t>
            </w:r>
            <w:r w:rsidRPr="0035403B">
              <w:rPr>
                <w:i/>
                <w:sz w:val="26"/>
                <w:szCs w:val="26"/>
              </w:rPr>
              <w:t>Quảng Bình, ngày</w:t>
            </w:r>
            <w:r w:rsidRPr="0035403B">
              <w:rPr>
                <w:i/>
                <w:sz w:val="26"/>
                <w:szCs w:val="26"/>
                <w:lang w:val="en-US"/>
              </w:rPr>
              <w:t xml:space="preserve">  </w:t>
            </w:r>
            <w:r>
              <w:rPr>
                <w:i/>
                <w:sz w:val="26"/>
                <w:szCs w:val="26"/>
                <w:lang w:val="en-US"/>
              </w:rPr>
              <w:t xml:space="preserve"> 21</w:t>
            </w:r>
            <w:r w:rsidRPr="0035403B">
              <w:rPr>
                <w:i/>
                <w:sz w:val="26"/>
                <w:szCs w:val="26"/>
                <w:lang w:val="en-US"/>
              </w:rPr>
              <w:t xml:space="preserve">  </w:t>
            </w:r>
            <w:r w:rsidRPr="0035403B">
              <w:rPr>
                <w:i/>
                <w:sz w:val="26"/>
                <w:szCs w:val="26"/>
              </w:rPr>
              <w:t xml:space="preserve"> tháng </w:t>
            </w:r>
            <w:r>
              <w:rPr>
                <w:i/>
                <w:sz w:val="26"/>
                <w:szCs w:val="26"/>
                <w:lang w:val="en-US"/>
              </w:rPr>
              <w:t xml:space="preserve">12 </w:t>
            </w:r>
            <w:r w:rsidRPr="0035403B">
              <w:rPr>
                <w:i/>
                <w:sz w:val="26"/>
                <w:szCs w:val="26"/>
              </w:rPr>
              <w:t>nãm 201</w:t>
            </w:r>
            <w:r>
              <w:rPr>
                <w:i/>
                <w:sz w:val="26"/>
                <w:szCs w:val="26"/>
                <w:lang w:val="en-US"/>
              </w:rPr>
              <w:t>6</w:t>
            </w:r>
          </w:p>
        </w:tc>
      </w:tr>
    </w:tbl>
    <w:p w:rsidR="007A4183" w:rsidRPr="004556A4" w:rsidRDefault="007A4183" w:rsidP="004556A4">
      <w:pPr>
        <w:ind w:left="1440" w:hanging="1440"/>
        <w:jc w:val="center"/>
        <w:rPr>
          <w:b/>
          <w:lang w:val="en-US"/>
        </w:rPr>
      </w:pPr>
      <w:r w:rsidRPr="004556A4">
        <w:rPr>
          <w:b/>
          <w:lang w:val="en-US"/>
        </w:rPr>
        <w:t>BÁO CÁO</w:t>
      </w:r>
    </w:p>
    <w:p w:rsidR="007A4183" w:rsidRPr="004556A4" w:rsidRDefault="007A4183" w:rsidP="004556A4">
      <w:pPr>
        <w:ind w:left="1440" w:hanging="1440"/>
        <w:jc w:val="center"/>
        <w:rPr>
          <w:b/>
          <w:lang w:val="en-US"/>
        </w:rPr>
      </w:pPr>
      <w:r w:rsidRPr="004556A4">
        <w:rPr>
          <w:b/>
          <w:lang w:val="en-US"/>
        </w:rPr>
        <w:t xml:space="preserve">TỔNG KẾT, ĐÁNH GIÁ TÌNH HÌNH THỰC HIỆN </w:t>
      </w:r>
    </w:p>
    <w:p w:rsidR="007A4183" w:rsidRDefault="007A4183" w:rsidP="004556A4">
      <w:pPr>
        <w:ind w:left="1440" w:hanging="1440"/>
        <w:jc w:val="center"/>
        <w:rPr>
          <w:b/>
          <w:lang w:val="en-US"/>
        </w:rPr>
      </w:pPr>
      <w:r w:rsidRPr="004556A4">
        <w:rPr>
          <w:b/>
          <w:lang w:val="en-US"/>
        </w:rPr>
        <w:t>CHÍNH SÁCH THUẾ BẢO VỆ MÔI TRƯỜNG</w:t>
      </w:r>
    </w:p>
    <w:p w:rsidR="007A4183" w:rsidRPr="004556A4" w:rsidRDefault="007A4183" w:rsidP="004556A4">
      <w:pPr>
        <w:ind w:left="1440" w:hanging="1440"/>
        <w:jc w:val="center"/>
        <w:rPr>
          <w:i/>
          <w:sz w:val="16"/>
          <w:szCs w:val="16"/>
          <w:lang w:val="en-US"/>
        </w:rPr>
      </w:pPr>
      <w:r w:rsidRPr="004556A4">
        <w:rPr>
          <w:i/>
          <w:lang w:val="en-US"/>
        </w:rPr>
        <w:t>(Giai đoạn từ năm 2012 đến hết năm 2016)</w:t>
      </w:r>
    </w:p>
    <w:p w:rsidR="007A4183" w:rsidRDefault="007A4183" w:rsidP="004556A4">
      <w:pPr>
        <w:spacing w:line="288" w:lineRule="auto"/>
        <w:ind w:firstLine="720"/>
        <w:jc w:val="both"/>
        <w:rPr>
          <w:lang w:val="en-US" w:eastAsia="en-US"/>
        </w:rPr>
      </w:pPr>
    </w:p>
    <w:p w:rsidR="007A4183" w:rsidRPr="004556A4" w:rsidRDefault="007A4183" w:rsidP="004556A4">
      <w:pPr>
        <w:spacing w:line="288" w:lineRule="auto"/>
        <w:ind w:firstLine="720"/>
        <w:jc w:val="both"/>
        <w:rPr>
          <w:b/>
          <w:lang w:val="nl-NL" w:eastAsia="en-US"/>
        </w:rPr>
      </w:pPr>
      <w:r w:rsidRPr="004556A4">
        <w:rPr>
          <w:b/>
          <w:lang w:val="nl-NL" w:eastAsia="en-US"/>
        </w:rPr>
        <w:t xml:space="preserve">I. Kết quả ðạt ðýợc và výớng mắc, khó khãn </w:t>
      </w:r>
    </w:p>
    <w:p w:rsidR="007A4183" w:rsidRPr="004556A4" w:rsidRDefault="007A4183" w:rsidP="004556A4">
      <w:pPr>
        <w:spacing w:line="288" w:lineRule="auto"/>
        <w:ind w:firstLine="720"/>
        <w:jc w:val="both"/>
        <w:rPr>
          <w:b/>
          <w:i/>
          <w:lang w:val="nl-NL" w:eastAsia="en-US"/>
        </w:rPr>
      </w:pPr>
      <w:r w:rsidRPr="004556A4">
        <w:rPr>
          <w:b/>
          <w:i/>
          <w:lang w:val="nl-NL" w:eastAsia="en-US"/>
        </w:rPr>
        <w:t xml:space="preserve">1. Về hàng hóa thuộc ðối týợng chịu thuế BVMT </w:t>
      </w:r>
    </w:p>
    <w:p w:rsidR="007A4183" w:rsidRPr="004556A4" w:rsidRDefault="007A4183" w:rsidP="004556A4">
      <w:pPr>
        <w:spacing w:line="288" w:lineRule="auto"/>
        <w:ind w:firstLine="720"/>
        <w:jc w:val="both"/>
        <w:rPr>
          <w:lang w:val="nl-NL" w:eastAsia="en-US"/>
        </w:rPr>
      </w:pPr>
      <w:r w:rsidRPr="004556A4">
        <w:rPr>
          <w:lang w:val="nl-NL" w:eastAsia="en-US"/>
        </w:rPr>
        <w:t xml:space="preserve">Luật thuế </w:t>
      </w:r>
      <w:r>
        <w:rPr>
          <w:lang w:val="nl-NL" w:eastAsia="en-US"/>
        </w:rPr>
        <w:t>Bảo vệ môi trýờng</w:t>
      </w:r>
      <w:r w:rsidRPr="004556A4">
        <w:rPr>
          <w:lang w:val="nl-NL" w:eastAsia="en-US"/>
        </w:rPr>
        <w:t xml:space="preserve"> quy ðịnh hàng hóa thuộc ðối týợng chịu thuế r</w:t>
      </w:r>
      <w:r>
        <w:rPr>
          <w:lang w:val="nl-NL" w:eastAsia="en-US"/>
        </w:rPr>
        <w:t>õ</w:t>
      </w:r>
      <w:r w:rsidRPr="004556A4">
        <w:rPr>
          <w:lang w:val="nl-NL" w:eastAsia="en-US"/>
        </w:rPr>
        <w:t xml:space="preserve"> ràng và phù hợp với thực tế. </w:t>
      </w:r>
    </w:p>
    <w:p w:rsidR="007A4183" w:rsidRPr="004556A4" w:rsidRDefault="007A4183" w:rsidP="004556A4">
      <w:pPr>
        <w:spacing w:line="288" w:lineRule="auto"/>
        <w:ind w:firstLine="720"/>
        <w:jc w:val="both"/>
        <w:rPr>
          <w:b/>
          <w:i/>
          <w:lang w:val="nl-NL" w:eastAsia="en-US"/>
        </w:rPr>
      </w:pPr>
      <w:r w:rsidRPr="004556A4">
        <w:rPr>
          <w:b/>
          <w:i/>
          <w:lang w:val="nl-NL" w:eastAsia="en-US"/>
        </w:rPr>
        <w:t>2. Về ðối týợng không chịu thuế BVMT</w:t>
      </w:r>
    </w:p>
    <w:p w:rsidR="007A4183" w:rsidRPr="004556A4" w:rsidRDefault="007A4183" w:rsidP="004556A4">
      <w:pPr>
        <w:spacing w:line="288" w:lineRule="auto"/>
        <w:ind w:firstLine="720"/>
        <w:jc w:val="both"/>
        <w:rPr>
          <w:lang w:val="nl-NL" w:eastAsia="en-US"/>
        </w:rPr>
      </w:pPr>
      <w:r>
        <w:rPr>
          <w:lang w:val="nl-NL" w:eastAsia="en-US"/>
        </w:rPr>
        <w:t>Tỉnh Quảng Bình ðã t</w:t>
      </w:r>
      <w:r w:rsidRPr="004556A4">
        <w:rPr>
          <w:lang w:val="nl-NL" w:eastAsia="en-US"/>
        </w:rPr>
        <w:t>hực hiện ðúng theo quy ðịnh của Luật thuế bảo vệ môi trýờng</w:t>
      </w:r>
      <w:r>
        <w:rPr>
          <w:lang w:val="nl-NL" w:eastAsia="en-US"/>
        </w:rPr>
        <w:t xml:space="preserve"> về ðối týợng/các trýờng hợp không chịu thuế BVMT tại ðịa phýõng.</w:t>
      </w:r>
    </w:p>
    <w:p w:rsidR="007A4183" w:rsidRPr="004556A4" w:rsidRDefault="007A4183" w:rsidP="004556A4">
      <w:pPr>
        <w:spacing w:line="288" w:lineRule="auto"/>
        <w:ind w:firstLine="720"/>
        <w:jc w:val="both"/>
        <w:rPr>
          <w:b/>
          <w:lang w:val="nl-NL" w:eastAsia="en-US"/>
        </w:rPr>
      </w:pPr>
      <w:r w:rsidRPr="004556A4">
        <w:rPr>
          <w:b/>
          <w:i/>
          <w:lang w:val="nl-NL" w:eastAsia="en-US"/>
        </w:rPr>
        <w:t>3. Về ngýời nộp thuế, cãn cứ tính thuế và phýõng pháp tính thuế BVMT</w:t>
      </w:r>
    </w:p>
    <w:p w:rsidR="007A4183" w:rsidRPr="004556A4" w:rsidRDefault="007A4183" w:rsidP="004556A4">
      <w:pPr>
        <w:spacing w:line="288" w:lineRule="auto"/>
        <w:ind w:firstLine="720"/>
        <w:jc w:val="both"/>
        <w:rPr>
          <w:lang w:val="nl-NL" w:eastAsia="en-US"/>
        </w:rPr>
      </w:pPr>
      <w:r w:rsidRPr="004556A4">
        <w:rPr>
          <w:lang w:val="nl-NL" w:eastAsia="en-US"/>
        </w:rPr>
        <w:t xml:space="preserve"> Luật quy ðịnh cãn cứ tính thuế và phýõng pháp tính thuế ðõn giản, d</w:t>
      </w:r>
      <w:r>
        <w:rPr>
          <w:lang w:val="nl-NL" w:eastAsia="en-US"/>
        </w:rPr>
        <w:t xml:space="preserve">ễ </w:t>
      </w:r>
      <w:r w:rsidRPr="004556A4">
        <w:rPr>
          <w:lang w:val="nl-NL" w:eastAsia="en-US"/>
        </w:rPr>
        <w:t>thực hiện</w:t>
      </w:r>
      <w:r>
        <w:rPr>
          <w:lang w:val="nl-NL" w:eastAsia="en-US"/>
        </w:rPr>
        <w:t>.</w:t>
      </w:r>
    </w:p>
    <w:p w:rsidR="007A4183" w:rsidRPr="004556A4" w:rsidRDefault="007A4183" w:rsidP="004556A4">
      <w:pPr>
        <w:spacing w:line="288" w:lineRule="auto"/>
        <w:ind w:firstLine="720"/>
        <w:jc w:val="both"/>
        <w:rPr>
          <w:b/>
          <w:i/>
          <w:lang w:val="nl-NL" w:eastAsia="en-US"/>
        </w:rPr>
      </w:pPr>
      <w:r w:rsidRPr="004556A4">
        <w:rPr>
          <w:b/>
          <w:i/>
          <w:lang w:val="nl-NL" w:eastAsia="en-US"/>
        </w:rPr>
        <w:t>4. Về biểu khung thuế và mức thuế BVMT</w:t>
      </w:r>
    </w:p>
    <w:p w:rsidR="007A4183" w:rsidRPr="004556A4" w:rsidRDefault="007A4183" w:rsidP="004556A4">
      <w:pPr>
        <w:spacing w:line="288" w:lineRule="auto"/>
        <w:ind w:firstLine="720"/>
        <w:jc w:val="both"/>
        <w:rPr>
          <w:lang w:val="nl-NL" w:eastAsia="en-US"/>
        </w:rPr>
      </w:pPr>
      <w:r>
        <w:rPr>
          <w:lang w:val="nl-NL" w:eastAsia="en-US"/>
        </w:rPr>
        <w:t xml:space="preserve">Khung </w:t>
      </w:r>
      <w:r w:rsidRPr="004556A4">
        <w:rPr>
          <w:lang w:val="nl-NL" w:eastAsia="en-US"/>
        </w:rPr>
        <w:t xml:space="preserve">thuế ðối với từng loại hàng hóa (ðặc biệt là than ðá và túi ni long) còn chênh lệch quá lớn giữa mức tối thiểu và mức tối ða, </w:t>
      </w:r>
      <w:r>
        <w:rPr>
          <w:lang w:val="nl-NL" w:eastAsia="en-US"/>
        </w:rPr>
        <w:t xml:space="preserve">do ðó </w:t>
      </w:r>
      <w:r w:rsidRPr="004556A4">
        <w:rPr>
          <w:lang w:val="nl-NL" w:eastAsia="en-US"/>
        </w:rPr>
        <w:t xml:space="preserve">khi thực hiện gặp khó khãn, dễ nảy sinh tiêu cực. Ðề nghị quy ðịnh khung mức thuế cụ thể hõn, mức chênh lệch tối ða, tối thiểu gần hõn.  </w:t>
      </w:r>
    </w:p>
    <w:p w:rsidR="007A4183" w:rsidRPr="004556A4" w:rsidRDefault="007A4183" w:rsidP="004556A4">
      <w:pPr>
        <w:spacing w:line="288" w:lineRule="auto"/>
        <w:ind w:firstLine="720"/>
        <w:jc w:val="both"/>
        <w:rPr>
          <w:b/>
          <w:i/>
          <w:lang w:val="nl-NL" w:eastAsia="en-US"/>
        </w:rPr>
      </w:pPr>
      <w:r w:rsidRPr="004556A4">
        <w:rPr>
          <w:b/>
          <w:i/>
          <w:lang w:val="nl-NL" w:eastAsia="en-US"/>
        </w:rPr>
        <w:t>5. Về thời ðiểm tính thuế BVMT</w:t>
      </w:r>
    </w:p>
    <w:p w:rsidR="007A4183" w:rsidRPr="004556A4" w:rsidRDefault="007A4183" w:rsidP="004556A4">
      <w:pPr>
        <w:spacing w:line="288" w:lineRule="auto"/>
        <w:ind w:firstLine="720"/>
        <w:jc w:val="both"/>
        <w:rPr>
          <w:lang w:val="nl-NL" w:eastAsia="en-US"/>
        </w:rPr>
      </w:pPr>
      <w:r w:rsidRPr="004556A4">
        <w:rPr>
          <w:lang w:val="nl-NL" w:eastAsia="en-US"/>
        </w:rPr>
        <w:t>Thời ðiểm tính thuế BVMT ðối với xãng dầu nhập khẩu tại thời ðiểm mở tờ khai hải quan ðã tạo ðiều kiện thuận lợi cho ngýời nộp thuế; rút ngắn thời gian, giảm thủ tục hành chính.</w:t>
      </w:r>
    </w:p>
    <w:p w:rsidR="007A4183" w:rsidRPr="004556A4" w:rsidRDefault="007A4183" w:rsidP="004556A4">
      <w:pPr>
        <w:spacing w:line="288" w:lineRule="auto"/>
        <w:ind w:firstLine="720"/>
        <w:jc w:val="both"/>
        <w:rPr>
          <w:b/>
          <w:i/>
          <w:lang w:val="nl-NL" w:eastAsia="en-US"/>
        </w:rPr>
      </w:pPr>
      <w:r w:rsidRPr="004556A4">
        <w:rPr>
          <w:b/>
          <w:i/>
          <w:lang w:val="nl-NL" w:eastAsia="en-US"/>
        </w:rPr>
        <w:t>6. Về khai thuế, tính thuế và nộp thuế</w:t>
      </w:r>
    </w:p>
    <w:p w:rsidR="007A4183" w:rsidRPr="004556A4" w:rsidRDefault="007A4183" w:rsidP="004556A4">
      <w:pPr>
        <w:spacing w:before="80" w:after="80" w:line="264" w:lineRule="auto"/>
        <w:ind w:firstLine="720"/>
        <w:jc w:val="both"/>
        <w:rPr>
          <w:i/>
          <w:lang w:val="nl-NL" w:eastAsia="en-US"/>
        </w:rPr>
      </w:pPr>
      <w:r w:rsidRPr="004556A4">
        <w:rPr>
          <w:i/>
          <w:lang w:val="nl-NL" w:eastAsia="en-US"/>
        </w:rPr>
        <w:t>- Ðánh giá việc thực hiện quy ðịnh về quản lý thuế BVMT tại ðị</w:t>
      </w:r>
      <w:r w:rsidRPr="00372074">
        <w:rPr>
          <w:i/>
          <w:lang w:val="nl-NL" w:eastAsia="en-US"/>
        </w:rPr>
        <w:t>a phýõng:</w:t>
      </w:r>
    </w:p>
    <w:p w:rsidR="007A4183" w:rsidRPr="004556A4" w:rsidRDefault="007A4183" w:rsidP="004556A4">
      <w:pPr>
        <w:spacing w:line="288" w:lineRule="auto"/>
        <w:ind w:firstLine="720"/>
        <w:jc w:val="both"/>
        <w:rPr>
          <w:lang w:val="nl-NL" w:eastAsia="en-US"/>
        </w:rPr>
      </w:pPr>
      <w:r w:rsidRPr="004556A4">
        <w:rPr>
          <w:lang w:val="nl-NL" w:eastAsia="en-US"/>
        </w:rPr>
        <w:t>Thuế BVMT ở Quảng Bình chủ yếu thu từ kinh doanh xãng dầu của Công ty xãng dầu Quảng Bình và Công ty TNHH SX&amp;TM Hýng Phát. Hàng nãm các doanh nghiệp thực hiện kê, khai nộp thuế BVMT theo ðúng sản lýợng nhập khẩu, doanh thu bán hàng; ðóng góp một phần cho nguồn thu của ngân sách ðịa phýõng</w:t>
      </w:r>
      <w:r>
        <w:rPr>
          <w:lang w:val="nl-NL" w:eastAsia="en-US"/>
        </w:rPr>
        <w:t xml:space="preserve"> (</w:t>
      </w:r>
      <w:r w:rsidRPr="004556A4">
        <w:rPr>
          <w:lang w:val="nl-NL" w:eastAsia="en-US"/>
        </w:rPr>
        <w:t xml:space="preserve">nãm 2012 chiếm tỷ lệ 3,2% trên tổng số thu ngân sách, nãm 2016 chiếm tỷ lệ 11,58%).   </w:t>
      </w:r>
      <w:bookmarkStart w:id="0" w:name="_GoBack"/>
      <w:bookmarkEnd w:id="0"/>
    </w:p>
    <w:p w:rsidR="007A4183" w:rsidRPr="004556A4" w:rsidRDefault="007A4183" w:rsidP="004556A4">
      <w:pPr>
        <w:spacing w:line="288" w:lineRule="auto"/>
        <w:ind w:firstLine="720"/>
        <w:jc w:val="both"/>
        <w:rPr>
          <w:i/>
          <w:lang w:val="nl-NL" w:eastAsia="en-US"/>
        </w:rPr>
      </w:pPr>
      <w:r w:rsidRPr="004556A4">
        <w:rPr>
          <w:i/>
          <w:lang w:val="nl-NL" w:eastAsia="en-US"/>
        </w:rPr>
        <w:lastRenderedPageBreak/>
        <w:t>- Výớng mắc trong công tác khai, nộp, tính thuế BVMT theo quy ðịnh của pháp luật về quản lý thuế (về hồ sõ khai thuế, ðịa ðiểm nộp hồ sõ, kê khai và nộp thuế) và kiến nghị sửa ðổi, bổ sung quy ðịnh về quản lý thuế</w:t>
      </w:r>
      <w:r>
        <w:rPr>
          <w:i/>
          <w:lang w:val="nl-NL" w:eastAsia="en-US"/>
        </w:rPr>
        <w:t xml:space="preserve"> BVMT:</w:t>
      </w:r>
    </w:p>
    <w:p w:rsidR="007A4183" w:rsidRPr="004556A4" w:rsidRDefault="007A4183" w:rsidP="004556A4">
      <w:pPr>
        <w:spacing w:line="288" w:lineRule="auto"/>
        <w:ind w:firstLine="720"/>
        <w:jc w:val="both"/>
        <w:rPr>
          <w:lang w:val="nl-NL" w:eastAsia="en-US"/>
        </w:rPr>
      </w:pPr>
      <w:r w:rsidRPr="004556A4">
        <w:rPr>
          <w:lang w:val="nl-NL" w:eastAsia="en-US"/>
        </w:rPr>
        <w:t>Công ty TNHH SX &amp; TM Hýng Phát là ðõn vị ðầu mối ðýợc cấp phép nhập khẩu trực tiếp xãng dầu, có trụ sở chính ðóng tại tỉnh Quảng Bình nhýng kho hàng ở tỉnh Quảng Trị và mở chi nhánh ở một số tỉnh khác, việc kê khai và nộp thuế trong 2 nãm 2015</w:t>
      </w:r>
      <w:r>
        <w:rPr>
          <w:lang w:val="nl-NL" w:eastAsia="en-US"/>
        </w:rPr>
        <w:t xml:space="preserve"> và nãm</w:t>
      </w:r>
      <w:r w:rsidRPr="004556A4">
        <w:rPr>
          <w:lang w:val="nl-NL" w:eastAsia="en-US"/>
        </w:rPr>
        <w:t xml:space="preserve"> 2016 gặp nhiều trở ngại. Cụ thể, nãm 2015</w:t>
      </w:r>
      <w:r>
        <w:rPr>
          <w:lang w:val="nl-NL" w:eastAsia="en-US"/>
        </w:rPr>
        <w:t>,</w:t>
      </w:r>
      <w:r w:rsidRPr="004556A4">
        <w:rPr>
          <w:lang w:val="nl-NL" w:eastAsia="en-US"/>
        </w:rPr>
        <w:t xml:space="preserve"> ðõn vị kê khai nộpthuế tại tỉnh Quảng Bình nhýng sau ðó tỉnh Quảng Trị yêu cầu công ty phải nộp thuế vãng lai 2% trên doanh thu trong nãm, buộc ngân sách tỉnh Quảng Bình phải chuyển lại số tiền thuế hõn 9 tỷ ðồng ðã ðýa vào cân ðối ngân sách của tỉnh. Nãm 2016</w:t>
      </w:r>
      <w:r>
        <w:rPr>
          <w:lang w:val="nl-NL" w:eastAsia="en-US"/>
        </w:rPr>
        <w:t>,</w:t>
      </w:r>
      <w:r w:rsidRPr="004556A4">
        <w:rPr>
          <w:lang w:val="nl-NL" w:eastAsia="en-US"/>
        </w:rPr>
        <w:t xml:space="preserve"> dự toán thu thuế BVMT do Tổng cục Thuế giao cho Quảng Bình theo Kế hoạch sản lýợng nhập khẩu trong nãm 2016 mà Bộ Công thýõng ðã giao cho công ty, nhýng từ tháng 10 ðến nay công ty kê khai nộp thuế BVMT ở tỉnh khác; vì vậy ảnh hýởng ðến việc cân ðối thu chi ngân sách của tỉnh ðã ðýợc Bộ Tài chính giao trong nãm 2016.</w:t>
      </w:r>
    </w:p>
    <w:p w:rsidR="007A4183" w:rsidRPr="004556A4" w:rsidRDefault="007A4183" w:rsidP="004556A4">
      <w:pPr>
        <w:spacing w:line="288" w:lineRule="auto"/>
        <w:ind w:firstLine="720"/>
        <w:jc w:val="both"/>
        <w:rPr>
          <w:lang w:val="nl-NL" w:eastAsia="en-US"/>
        </w:rPr>
      </w:pPr>
      <w:r w:rsidRPr="004556A4">
        <w:rPr>
          <w:lang w:val="nl-NL" w:eastAsia="en-US"/>
        </w:rPr>
        <w:t xml:space="preserve">Ðể thuận tiện cho việc khai thuế, tính thuế, nộp thuế, không ảnh hýởng ðến cân ðối thu chi ngân sách ðịa phýõng, ðề nghị thực hiện theo ðúng quy ðịnh tại khoản 2 Ðiều 10 Luật thuế BVMT là </w:t>
      </w:r>
      <w:r w:rsidRPr="004556A4">
        <w:rPr>
          <w:i/>
          <w:lang w:val="nl-NL" w:eastAsia="en-US"/>
        </w:rPr>
        <w:t>“Việc khai thuế, tính thuế, nộp thuế bảo vệ môi trýờng ðối với hàng hóa nhập khẩu ðýợc thực hiện cùng thời ðiểm với khai thuế và nộp thuế nhập khẩu”</w:t>
      </w:r>
      <w:r w:rsidRPr="004556A4">
        <w:rPr>
          <w:lang w:val="nl-NL" w:eastAsia="en-US"/>
        </w:rPr>
        <w:t>. Việc phân chia tỷ lệ diều tiết ngân sách cho từng ðịa phýõng do Bộ Tài chính quy ðịnh theo Luật ngân sách nhà nýớc.</w:t>
      </w:r>
    </w:p>
    <w:p w:rsidR="007A4183" w:rsidRPr="004556A4" w:rsidRDefault="007A4183" w:rsidP="004556A4">
      <w:pPr>
        <w:spacing w:before="80" w:after="80" w:line="264" w:lineRule="auto"/>
        <w:ind w:firstLine="720"/>
        <w:jc w:val="both"/>
        <w:rPr>
          <w:b/>
          <w:i/>
          <w:lang w:val="nl-NL" w:eastAsia="en-US"/>
        </w:rPr>
      </w:pPr>
      <w:r w:rsidRPr="004556A4">
        <w:rPr>
          <w:b/>
          <w:i/>
          <w:lang w:val="nl-NL" w:eastAsia="en-US"/>
        </w:rPr>
        <w:t>7. Về hoàn thuế BVMT</w:t>
      </w:r>
    </w:p>
    <w:p w:rsidR="007A4183" w:rsidRPr="004556A4" w:rsidRDefault="007A4183" w:rsidP="004556A4">
      <w:pPr>
        <w:spacing w:before="80" w:after="80" w:line="264" w:lineRule="auto"/>
        <w:ind w:firstLine="720"/>
        <w:jc w:val="both"/>
        <w:rPr>
          <w:lang w:val="nl-NL" w:eastAsia="en-US"/>
        </w:rPr>
      </w:pPr>
      <w:r w:rsidRPr="004556A4">
        <w:rPr>
          <w:lang w:val="nl-NL" w:eastAsia="en-US"/>
        </w:rPr>
        <w:t>Hiện tại Cục Thuế tỉnh Quảng Bình chýa có trýờng hợp nào hoàn thuế bảo vệ môi trýờng.</w:t>
      </w:r>
    </w:p>
    <w:p w:rsidR="007A4183" w:rsidRPr="004556A4" w:rsidRDefault="007A4183" w:rsidP="004556A4">
      <w:pPr>
        <w:spacing w:before="80" w:after="80" w:line="264" w:lineRule="auto"/>
        <w:ind w:firstLine="720"/>
        <w:jc w:val="both"/>
        <w:rPr>
          <w:sz w:val="18"/>
          <w:lang w:val="nl-NL" w:eastAsia="en-US"/>
        </w:rPr>
      </w:pPr>
      <w:r w:rsidRPr="004556A4">
        <w:rPr>
          <w:b/>
          <w:i/>
          <w:lang w:val="nl-NL" w:eastAsia="en-US"/>
        </w:rPr>
        <w:t>8. Số thu thuế BVMT</w:t>
      </w:r>
    </w:p>
    <w:p w:rsidR="007A4183" w:rsidRPr="004556A4" w:rsidRDefault="007A4183" w:rsidP="004556A4">
      <w:pPr>
        <w:spacing w:before="80" w:after="80" w:line="264" w:lineRule="auto"/>
        <w:jc w:val="center"/>
        <w:rPr>
          <w:sz w:val="24"/>
          <w:szCs w:val="24"/>
          <w:lang w:val="nl-NL" w:eastAsia="en-US"/>
        </w:rPr>
      </w:pPr>
      <w:r w:rsidRPr="004556A4">
        <w:rPr>
          <w:b/>
          <w:bCs/>
          <w:color w:val="000000"/>
          <w:sz w:val="24"/>
          <w:szCs w:val="24"/>
          <w:lang w:val="nl-NL" w:eastAsia="en-US"/>
        </w:rPr>
        <w:t>BIỂU TỔNG HỢP SỐ THUẾ B</w:t>
      </w:r>
      <w:r>
        <w:rPr>
          <w:b/>
          <w:bCs/>
          <w:color w:val="000000"/>
          <w:sz w:val="24"/>
          <w:szCs w:val="24"/>
          <w:lang w:val="nl-NL" w:eastAsia="en-US"/>
        </w:rPr>
        <w:t>ẢO VỆ MÔI TRÝỜNG</w:t>
      </w:r>
    </w:p>
    <w:p w:rsidR="007A4183" w:rsidRPr="004556A4" w:rsidRDefault="007A4183" w:rsidP="004556A4">
      <w:pPr>
        <w:spacing w:before="80" w:after="80" w:line="264" w:lineRule="auto"/>
        <w:ind w:firstLine="720"/>
        <w:jc w:val="right"/>
        <w:rPr>
          <w:sz w:val="2"/>
          <w:lang w:val="nl-NL" w:eastAsia="en-US"/>
        </w:rPr>
      </w:pPr>
    </w:p>
    <w:p w:rsidR="007A4183" w:rsidRPr="004556A4" w:rsidRDefault="007A4183" w:rsidP="004556A4">
      <w:pPr>
        <w:spacing w:before="80" w:after="80" w:line="264" w:lineRule="auto"/>
        <w:ind w:firstLine="720"/>
        <w:jc w:val="right"/>
        <w:rPr>
          <w:i/>
          <w:lang w:val="en-US" w:eastAsia="en-US"/>
        </w:rPr>
      </w:pPr>
      <w:r w:rsidRPr="004556A4">
        <w:rPr>
          <w:i/>
          <w:lang w:val="en-US" w:eastAsia="en-US"/>
        </w:rPr>
        <w:t>Ðõn vị tính: tỷ ðồng</w:t>
      </w:r>
    </w:p>
    <w:p w:rsidR="007A4183" w:rsidRPr="004556A4" w:rsidRDefault="007A4183" w:rsidP="004556A4">
      <w:pPr>
        <w:spacing w:before="80" w:after="80" w:line="264" w:lineRule="auto"/>
        <w:ind w:firstLine="720"/>
        <w:jc w:val="both"/>
        <w:rPr>
          <w:sz w:val="2"/>
          <w:lang w:val="en-US"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992"/>
        <w:gridCol w:w="993"/>
        <w:gridCol w:w="850"/>
        <w:gridCol w:w="851"/>
        <w:gridCol w:w="850"/>
      </w:tblGrid>
      <w:tr w:rsidR="007A4183" w:rsidRPr="004556A4" w:rsidTr="009925AC">
        <w:tc>
          <w:tcPr>
            <w:tcW w:w="675"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STT</w:t>
            </w:r>
          </w:p>
        </w:tc>
        <w:tc>
          <w:tcPr>
            <w:tcW w:w="4111"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Chỉ tiêu</w:t>
            </w:r>
          </w:p>
        </w:tc>
        <w:tc>
          <w:tcPr>
            <w:tcW w:w="992"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2012</w:t>
            </w:r>
          </w:p>
        </w:tc>
        <w:tc>
          <w:tcPr>
            <w:tcW w:w="993"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2013</w:t>
            </w:r>
          </w:p>
        </w:tc>
        <w:tc>
          <w:tcPr>
            <w:tcW w:w="850"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2014</w:t>
            </w:r>
          </w:p>
        </w:tc>
        <w:tc>
          <w:tcPr>
            <w:tcW w:w="851"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2015</w:t>
            </w:r>
          </w:p>
        </w:tc>
        <w:tc>
          <w:tcPr>
            <w:tcW w:w="850" w:type="dxa"/>
            <w:vAlign w:val="center"/>
          </w:tcPr>
          <w:p w:rsidR="007A4183" w:rsidRPr="004556A4" w:rsidRDefault="007A4183" w:rsidP="004556A4">
            <w:pPr>
              <w:spacing w:before="80" w:after="80" w:line="264" w:lineRule="auto"/>
              <w:jc w:val="center"/>
              <w:rPr>
                <w:b/>
                <w:sz w:val="24"/>
                <w:szCs w:val="24"/>
                <w:vertAlign w:val="superscript"/>
                <w:lang w:val="en-US" w:eastAsia="en-US"/>
              </w:rPr>
            </w:pPr>
            <w:r w:rsidRPr="004556A4">
              <w:rPr>
                <w:b/>
                <w:sz w:val="24"/>
                <w:szCs w:val="24"/>
                <w:lang w:val="en-US" w:eastAsia="en-US"/>
              </w:rPr>
              <w:t>2016</w:t>
            </w:r>
            <w:r w:rsidRPr="004556A4">
              <w:rPr>
                <w:b/>
                <w:sz w:val="24"/>
                <w:szCs w:val="24"/>
                <w:vertAlign w:val="superscript"/>
                <w:lang w:val="en-US" w:eastAsia="en-US"/>
              </w:rPr>
              <w:t>*</w:t>
            </w:r>
          </w:p>
        </w:tc>
      </w:tr>
      <w:tr w:rsidR="007A4183" w:rsidRPr="004556A4" w:rsidTr="009925AC">
        <w:tc>
          <w:tcPr>
            <w:tcW w:w="675"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I</w:t>
            </w:r>
          </w:p>
        </w:tc>
        <w:tc>
          <w:tcPr>
            <w:tcW w:w="4111" w:type="dxa"/>
            <w:vAlign w:val="center"/>
          </w:tcPr>
          <w:p w:rsidR="007A4183" w:rsidRPr="004556A4" w:rsidRDefault="007A4183" w:rsidP="004556A4">
            <w:pPr>
              <w:spacing w:before="80" w:after="80" w:line="264" w:lineRule="auto"/>
              <w:jc w:val="both"/>
              <w:rPr>
                <w:b/>
                <w:sz w:val="24"/>
                <w:szCs w:val="24"/>
                <w:lang w:val="en-US" w:eastAsia="en-US"/>
              </w:rPr>
            </w:pPr>
            <w:r w:rsidRPr="004556A4">
              <w:rPr>
                <w:b/>
                <w:sz w:val="24"/>
                <w:szCs w:val="24"/>
                <w:lang w:val="en-US" w:eastAsia="en-US"/>
              </w:rPr>
              <w:t>Tổng số thu thuế BVMT</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41,8</w:t>
            </w:r>
          </w:p>
        </w:tc>
        <w:tc>
          <w:tcPr>
            <w:tcW w:w="993"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48,1</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87</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242,2</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308</w:t>
            </w:r>
          </w:p>
        </w:tc>
      </w:tr>
      <w:tr w:rsidR="007A4183" w:rsidRPr="004556A4" w:rsidTr="009925AC">
        <w:tc>
          <w:tcPr>
            <w:tcW w:w="675" w:type="dxa"/>
            <w:vAlign w:val="center"/>
          </w:tcPr>
          <w:p w:rsidR="007A4183" w:rsidRPr="004556A4" w:rsidRDefault="007A4183" w:rsidP="004556A4">
            <w:pPr>
              <w:spacing w:before="80" w:after="80" w:line="264" w:lineRule="auto"/>
              <w:jc w:val="center"/>
              <w:rPr>
                <w:b/>
                <w:i/>
                <w:sz w:val="24"/>
                <w:szCs w:val="24"/>
                <w:lang w:val="en-US" w:eastAsia="en-US"/>
              </w:rPr>
            </w:pPr>
            <w:r w:rsidRPr="004556A4">
              <w:rPr>
                <w:b/>
                <w:i/>
                <w:sz w:val="24"/>
                <w:szCs w:val="24"/>
                <w:lang w:val="en-US" w:eastAsia="en-US"/>
              </w:rPr>
              <w:t>1</w:t>
            </w:r>
          </w:p>
        </w:tc>
        <w:tc>
          <w:tcPr>
            <w:tcW w:w="4111" w:type="dxa"/>
            <w:vAlign w:val="center"/>
          </w:tcPr>
          <w:p w:rsidR="007A4183" w:rsidRPr="004556A4" w:rsidRDefault="007A4183" w:rsidP="004556A4">
            <w:pPr>
              <w:jc w:val="both"/>
              <w:rPr>
                <w:b/>
                <w:i/>
                <w:sz w:val="24"/>
                <w:szCs w:val="24"/>
                <w:lang w:val="en-US" w:eastAsia="en-US"/>
              </w:rPr>
            </w:pPr>
            <w:r w:rsidRPr="004556A4">
              <w:rPr>
                <w:b/>
                <w:i/>
                <w:sz w:val="24"/>
                <w:szCs w:val="24"/>
                <w:lang w:val="en-US" w:eastAsia="en-US"/>
              </w:rPr>
              <w:t>Nhóm hàng hóa sản xuất trong nýớc</w:t>
            </w:r>
          </w:p>
        </w:tc>
        <w:tc>
          <w:tcPr>
            <w:tcW w:w="992" w:type="dxa"/>
            <w:vAlign w:val="center"/>
          </w:tcPr>
          <w:p w:rsidR="007A4183" w:rsidRPr="004556A4" w:rsidRDefault="007A4183" w:rsidP="004556A4">
            <w:pPr>
              <w:spacing w:before="80" w:after="80" w:line="264" w:lineRule="auto"/>
              <w:jc w:val="center"/>
              <w:rPr>
                <w:b/>
                <w:i/>
                <w:sz w:val="24"/>
                <w:szCs w:val="24"/>
                <w:lang w:val="en-US" w:eastAsia="en-US"/>
              </w:rPr>
            </w:pPr>
          </w:p>
        </w:tc>
        <w:tc>
          <w:tcPr>
            <w:tcW w:w="993" w:type="dxa"/>
            <w:vAlign w:val="center"/>
          </w:tcPr>
          <w:p w:rsidR="007A4183" w:rsidRPr="004556A4" w:rsidRDefault="007A4183" w:rsidP="004556A4">
            <w:pPr>
              <w:spacing w:before="80" w:after="80" w:line="264" w:lineRule="auto"/>
              <w:jc w:val="center"/>
              <w:rPr>
                <w:b/>
                <w:i/>
                <w:sz w:val="24"/>
                <w:szCs w:val="24"/>
                <w:lang w:val="en-US" w:eastAsia="en-US"/>
              </w:rPr>
            </w:pPr>
          </w:p>
        </w:tc>
        <w:tc>
          <w:tcPr>
            <w:tcW w:w="850" w:type="dxa"/>
            <w:vAlign w:val="center"/>
          </w:tcPr>
          <w:p w:rsidR="007A4183" w:rsidRPr="004556A4" w:rsidRDefault="007A4183" w:rsidP="004556A4">
            <w:pPr>
              <w:spacing w:before="80" w:after="80" w:line="264" w:lineRule="auto"/>
              <w:jc w:val="center"/>
              <w:rPr>
                <w:b/>
                <w:i/>
                <w:sz w:val="24"/>
                <w:szCs w:val="24"/>
                <w:lang w:val="en-US" w:eastAsia="en-US"/>
              </w:rPr>
            </w:pPr>
          </w:p>
        </w:tc>
        <w:tc>
          <w:tcPr>
            <w:tcW w:w="851" w:type="dxa"/>
            <w:vAlign w:val="center"/>
          </w:tcPr>
          <w:p w:rsidR="007A4183" w:rsidRPr="004556A4" w:rsidRDefault="007A4183" w:rsidP="004556A4">
            <w:pPr>
              <w:spacing w:before="80" w:after="80" w:line="264" w:lineRule="auto"/>
              <w:jc w:val="center"/>
              <w:rPr>
                <w:b/>
                <w:i/>
                <w:sz w:val="24"/>
                <w:szCs w:val="24"/>
                <w:lang w:val="en-US" w:eastAsia="en-US"/>
              </w:rPr>
            </w:pPr>
          </w:p>
        </w:tc>
        <w:tc>
          <w:tcPr>
            <w:tcW w:w="850" w:type="dxa"/>
            <w:vAlign w:val="center"/>
          </w:tcPr>
          <w:p w:rsidR="007A4183" w:rsidRPr="004556A4" w:rsidRDefault="007A4183" w:rsidP="004556A4">
            <w:pPr>
              <w:spacing w:before="80" w:after="80" w:line="264" w:lineRule="auto"/>
              <w:jc w:val="center"/>
              <w:rPr>
                <w:b/>
                <w:i/>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1.1</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Xãng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25,6</w:t>
            </w:r>
          </w:p>
        </w:tc>
        <w:tc>
          <w:tcPr>
            <w:tcW w:w="993"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29,6</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5,4</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0,25</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1.2</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Nhiên liệu bay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1.3</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Dầu diezel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16,2</w:t>
            </w:r>
          </w:p>
        </w:tc>
        <w:tc>
          <w:tcPr>
            <w:tcW w:w="993"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18,5</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10,6</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7,3</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1.4</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Dầu hỏa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lastRenderedPageBreak/>
              <w:t>1.5</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Dầu mazut, dầu nhờn, mỡ nhờn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0,14</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1.6</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Than ðá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1.8</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Túi ni lông thuộc diện chịu thuế</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1.9</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Thuốc diệt cỏ thuộc loại hạn chế sử dụng</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1.10</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Các hàng hoá khác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b/>
                <w:i/>
                <w:sz w:val="24"/>
                <w:szCs w:val="24"/>
                <w:lang w:val="en-US" w:eastAsia="en-US"/>
              </w:rPr>
            </w:pPr>
            <w:r w:rsidRPr="004556A4">
              <w:rPr>
                <w:b/>
                <w:i/>
                <w:sz w:val="24"/>
                <w:szCs w:val="24"/>
                <w:lang w:val="en-US" w:eastAsia="en-US"/>
              </w:rPr>
              <w:t>2</w:t>
            </w:r>
          </w:p>
        </w:tc>
        <w:tc>
          <w:tcPr>
            <w:tcW w:w="4111" w:type="dxa"/>
            <w:vAlign w:val="center"/>
          </w:tcPr>
          <w:p w:rsidR="007A4183" w:rsidRPr="004556A4" w:rsidRDefault="007A4183" w:rsidP="004556A4">
            <w:pPr>
              <w:jc w:val="both"/>
              <w:rPr>
                <w:b/>
                <w:i/>
                <w:sz w:val="24"/>
                <w:szCs w:val="24"/>
                <w:lang w:val="en-US" w:eastAsia="en-US"/>
              </w:rPr>
            </w:pPr>
            <w:r w:rsidRPr="004556A4">
              <w:rPr>
                <w:b/>
                <w:i/>
                <w:sz w:val="24"/>
                <w:szCs w:val="24"/>
                <w:lang w:val="en-US" w:eastAsia="en-US"/>
              </w:rPr>
              <w:t xml:space="preserve">Nhóm hàng hóa nhập khẩu </w:t>
            </w:r>
          </w:p>
        </w:tc>
        <w:tc>
          <w:tcPr>
            <w:tcW w:w="992" w:type="dxa"/>
            <w:vAlign w:val="center"/>
          </w:tcPr>
          <w:p w:rsidR="007A4183" w:rsidRPr="004556A4" w:rsidRDefault="007A4183" w:rsidP="004556A4">
            <w:pPr>
              <w:spacing w:before="80" w:after="80" w:line="264" w:lineRule="auto"/>
              <w:jc w:val="center"/>
              <w:rPr>
                <w:b/>
                <w:i/>
                <w:sz w:val="24"/>
                <w:szCs w:val="24"/>
                <w:lang w:val="en-US" w:eastAsia="en-US"/>
              </w:rPr>
            </w:pPr>
          </w:p>
        </w:tc>
        <w:tc>
          <w:tcPr>
            <w:tcW w:w="993" w:type="dxa"/>
            <w:vAlign w:val="center"/>
          </w:tcPr>
          <w:p w:rsidR="007A4183" w:rsidRPr="004556A4" w:rsidRDefault="007A4183" w:rsidP="004556A4">
            <w:pPr>
              <w:spacing w:before="80" w:after="80" w:line="264" w:lineRule="auto"/>
              <w:jc w:val="center"/>
              <w:rPr>
                <w:b/>
                <w:i/>
                <w:sz w:val="24"/>
                <w:szCs w:val="24"/>
                <w:lang w:val="en-US" w:eastAsia="en-US"/>
              </w:rPr>
            </w:pPr>
          </w:p>
        </w:tc>
        <w:tc>
          <w:tcPr>
            <w:tcW w:w="850" w:type="dxa"/>
            <w:vAlign w:val="center"/>
          </w:tcPr>
          <w:p w:rsidR="007A4183" w:rsidRPr="004556A4" w:rsidRDefault="007A4183" w:rsidP="004556A4">
            <w:pPr>
              <w:spacing w:before="80" w:after="80" w:line="264" w:lineRule="auto"/>
              <w:jc w:val="center"/>
              <w:rPr>
                <w:b/>
                <w:i/>
                <w:sz w:val="24"/>
                <w:szCs w:val="24"/>
                <w:lang w:val="en-US" w:eastAsia="en-US"/>
              </w:rPr>
            </w:pPr>
          </w:p>
        </w:tc>
        <w:tc>
          <w:tcPr>
            <w:tcW w:w="851" w:type="dxa"/>
            <w:vAlign w:val="center"/>
          </w:tcPr>
          <w:p w:rsidR="007A4183" w:rsidRPr="004556A4" w:rsidRDefault="007A4183" w:rsidP="004556A4">
            <w:pPr>
              <w:spacing w:before="80" w:after="80" w:line="264" w:lineRule="auto"/>
              <w:jc w:val="center"/>
              <w:rPr>
                <w:b/>
                <w:i/>
                <w:sz w:val="24"/>
                <w:szCs w:val="24"/>
                <w:lang w:val="en-US" w:eastAsia="en-US"/>
              </w:rPr>
            </w:pPr>
          </w:p>
        </w:tc>
        <w:tc>
          <w:tcPr>
            <w:tcW w:w="850" w:type="dxa"/>
            <w:vAlign w:val="center"/>
          </w:tcPr>
          <w:p w:rsidR="007A4183" w:rsidRPr="004556A4" w:rsidRDefault="007A4183" w:rsidP="004556A4">
            <w:pPr>
              <w:spacing w:before="80" w:after="80" w:line="264" w:lineRule="auto"/>
              <w:jc w:val="center"/>
              <w:rPr>
                <w:b/>
                <w:i/>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2.1</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Xãng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41,1</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109,4</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140</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2.2</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Nhiên liệu bay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10,7</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2.3</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Dầu diezel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29,9</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124,7</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155</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2.4</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Dầu hỏa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2.5</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Dầu mazut, dầu nhờn, mỡ nhờn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0,36</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0,3</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2.6</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Than ðá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2.8</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Túi ni lông thuộc diện chịu thuế</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2.9</w:t>
            </w:r>
          </w:p>
        </w:tc>
        <w:tc>
          <w:tcPr>
            <w:tcW w:w="4111" w:type="dxa"/>
            <w:vAlign w:val="center"/>
          </w:tcPr>
          <w:p w:rsidR="007A4183" w:rsidRPr="004556A4" w:rsidRDefault="007A4183" w:rsidP="004556A4">
            <w:pPr>
              <w:jc w:val="both"/>
              <w:rPr>
                <w:sz w:val="24"/>
                <w:szCs w:val="24"/>
                <w:lang w:val="en-US" w:eastAsia="en-US"/>
              </w:rPr>
            </w:pPr>
            <w:r w:rsidRPr="004556A4">
              <w:rPr>
                <w:sz w:val="24"/>
                <w:szCs w:val="24"/>
                <w:lang w:val="en-US" w:eastAsia="en-US"/>
              </w:rPr>
              <w:t xml:space="preserve">Các hàng hoá khác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II</w:t>
            </w:r>
          </w:p>
        </w:tc>
        <w:tc>
          <w:tcPr>
            <w:tcW w:w="4111" w:type="dxa"/>
            <w:vAlign w:val="center"/>
          </w:tcPr>
          <w:p w:rsidR="007A4183" w:rsidRPr="004556A4" w:rsidRDefault="007A4183" w:rsidP="004556A4">
            <w:pPr>
              <w:spacing w:before="80" w:after="80" w:line="264" w:lineRule="auto"/>
              <w:jc w:val="both"/>
              <w:rPr>
                <w:b/>
                <w:sz w:val="24"/>
                <w:szCs w:val="24"/>
                <w:lang w:val="en-US" w:eastAsia="en-US"/>
              </w:rPr>
            </w:pPr>
            <w:r w:rsidRPr="004556A4">
              <w:rPr>
                <w:b/>
                <w:sz w:val="24"/>
                <w:szCs w:val="24"/>
                <w:lang w:val="en-US" w:eastAsia="en-US"/>
              </w:rPr>
              <w:t>Số tiền hoàn thuế BVMT</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w:t>
            </w:r>
          </w:p>
        </w:tc>
        <w:tc>
          <w:tcPr>
            <w:tcW w:w="993"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0</w:t>
            </w: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w:t>
            </w:r>
          </w:p>
        </w:tc>
        <w:tc>
          <w:tcPr>
            <w:tcW w:w="4111" w:type="dxa"/>
            <w:vAlign w:val="center"/>
          </w:tcPr>
          <w:p w:rsidR="007A4183" w:rsidRPr="004556A4" w:rsidRDefault="007A4183" w:rsidP="004556A4">
            <w:pPr>
              <w:spacing w:before="80" w:after="80" w:line="264" w:lineRule="auto"/>
              <w:jc w:val="both"/>
              <w:rPr>
                <w:sz w:val="24"/>
                <w:szCs w:val="24"/>
                <w:lang w:val="en-US" w:eastAsia="en-US"/>
              </w:rPr>
            </w:pPr>
            <w:r w:rsidRPr="004556A4">
              <w:rPr>
                <w:sz w:val="24"/>
                <w:szCs w:val="24"/>
                <w:lang w:val="en-US" w:eastAsia="en-US"/>
              </w:rPr>
              <w:t>Xãng</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w:t>
            </w:r>
          </w:p>
        </w:tc>
        <w:tc>
          <w:tcPr>
            <w:tcW w:w="4111" w:type="dxa"/>
            <w:vAlign w:val="center"/>
          </w:tcPr>
          <w:p w:rsidR="007A4183" w:rsidRPr="004556A4" w:rsidRDefault="007A4183" w:rsidP="004556A4">
            <w:pPr>
              <w:spacing w:before="80" w:after="80" w:line="264" w:lineRule="auto"/>
              <w:jc w:val="both"/>
              <w:rPr>
                <w:sz w:val="24"/>
                <w:szCs w:val="24"/>
                <w:lang w:val="en-US" w:eastAsia="en-US"/>
              </w:rPr>
            </w:pPr>
            <w:r w:rsidRPr="004556A4">
              <w:rPr>
                <w:sz w:val="24"/>
                <w:szCs w:val="24"/>
                <w:lang w:val="en-US" w:eastAsia="en-US"/>
              </w:rPr>
              <w:t>Túi ni lông thuộc diện chịu thuế</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p>
        </w:tc>
        <w:tc>
          <w:tcPr>
            <w:tcW w:w="993"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c>
          <w:tcPr>
            <w:tcW w:w="851" w:type="dxa"/>
            <w:vAlign w:val="center"/>
          </w:tcPr>
          <w:p w:rsidR="007A4183" w:rsidRPr="004556A4" w:rsidRDefault="007A4183" w:rsidP="004556A4">
            <w:pPr>
              <w:spacing w:before="80" w:after="80" w:line="264" w:lineRule="auto"/>
              <w:jc w:val="center"/>
              <w:rPr>
                <w:sz w:val="24"/>
                <w:szCs w:val="24"/>
                <w:lang w:val="en-US" w:eastAsia="en-US"/>
              </w:rPr>
            </w:pPr>
          </w:p>
        </w:tc>
        <w:tc>
          <w:tcPr>
            <w:tcW w:w="850" w:type="dxa"/>
            <w:vAlign w:val="center"/>
          </w:tcPr>
          <w:p w:rsidR="007A4183" w:rsidRPr="004556A4" w:rsidRDefault="007A4183" w:rsidP="004556A4">
            <w:pPr>
              <w:spacing w:before="80" w:after="80" w:line="264" w:lineRule="auto"/>
              <w:jc w:val="center"/>
              <w:rPr>
                <w:sz w:val="24"/>
                <w:szCs w:val="24"/>
                <w:lang w:val="en-US" w:eastAsia="en-US"/>
              </w:rPr>
            </w:pPr>
          </w:p>
        </w:tc>
      </w:tr>
      <w:tr w:rsidR="007A4183" w:rsidRPr="004556A4" w:rsidTr="009925AC">
        <w:tc>
          <w:tcPr>
            <w:tcW w:w="675"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III</w:t>
            </w:r>
          </w:p>
        </w:tc>
        <w:tc>
          <w:tcPr>
            <w:tcW w:w="4111" w:type="dxa"/>
            <w:vAlign w:val="center"/>
          </w:tcPr>
          <w:p w:rsidR="007A4183" w:rsidRPr="004556A4" w:rsidRDefault="007A4183" w:rsidP="004556A4">
            <w:pPr>
              <w:spacing w:before="80" w:after="80" w:line="264" w:lineRule="auto"/>
              <w:jc w:val="both"/>
              <w:rPr>
                <w:b/>
                <w:sz w:val="24"/>
                <w:szCs w:val="24"/>
                <w:lang w:val="en-US" w:eastAsia="en-US"/>
              </w:rPr>
            </w:pPr>
            <w:r w:rsidRPr="004556A4">
              <w:rPr>
                <w:b/>
                <w:sz w:val="24"/>
                <w:szCs w:val="24"/>
                <w:lang w:val="en-US" w:eastAsia="en-US"/>
              </w:rPr>
              <w:t>TỔNG SỐ THU NSÐP TỪ THUẾ, PHÍ, LỆ PHÍ</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1.298</w:t>
            </w:r>
          </w:p>
        </w:tc>
        <w:tc>
          <w:tcPr>
            <w:tcW w:w="993"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1.530</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1.518</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2.332</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2.659</w:t>
            </w:r>
          </w:p>
        </w:tc>
      </w:tr>
      <w:tr w:rsidR="007A4183" w:rsidRPr="004556A4" w:rsidTr="009925AC">
        <w:tc>
          <w:tcPr>
            <w:tcW w:w="675" w:type="dxa"/>
            <w:vAlign w:val="center"/>
          </w:tcPr>
          <w:p w:rsidR="007A4183" w:rsidRPr="004556A4" w:rsidRDefault="007A4183" w:rsidP="004556A4">
            <w:pPr>
              <w:spacing w:before="80" w:after="80" w:line="264" w:lineRule="auto"/>
              <w:jc w:val="center"/>
              <w:rPr>
                <w:b/>
                <w:sz w:val="24"/>
                <w:szCs w:val="24"/>
                <w:lang w:val="en-US" w:eastAsia="en-US"/>
              </w:rPr>
            </w:pPr>
            <w:r w:rsidRPr="004556A4">
              <w:rPr>
                <w:b/>
                <w:sz w:val="24"/>
                <w:szCs w:val="24"/>
                <w:lang w:val="en-US" w:eastAsia="en-US"/>
              </w:rPr>
              <w:t>IV</w:t>
            </w:r>
          </w:p>
        </w:tc>
        <w:tc>
          <w:tcPr>
            <w:tcW w:w="4111" w:type="dxa"/>
            <w:vAlign w:val="center"/>
          </w:tcPr>
          <w:p w:rsidR="007A4183" w:rsidRPr="004556A4" w:rsidRDefault="007A4183" w:rsidP="004556A4">
            <w:pPr>
              <w:spacing w:before="80" w:after="80" w:line="264" w:lineRule="auto"/>
              <w:jc w:val="both"/>
              <w:rPr>
                <w:b/>
                <w:sz w:val="24"/>
                <w:szCs w:val="24"/>
                <w:lang w:val="en-US" w:eastAsia="en-US"/>
              </w:rPr>
            </w:pPr>
            <w:r w:rsidRPr="004556A4">
              <w:rPr>
                <w:b/>
                <w:sz w:val="24"/>
                <w:szCs w:val="24"/>
                <w:lang w:val="en-US" w:eastAsia="en-US"/>
              </w:rPr>
              <w:t>Tỷ trọng số thu thuế BVMT/tổng số thu NSÐP từ thuế, phí, lệ phí (%)</w:t>
            </w:r>
          </w:p>
        </w:tc>
        <w:tc>
          <w:tcPr>
            <w:tcW w:w="992"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3,2</w:t>
            </w:r>
          </w:p>
        </w:tc>
        <w:tc>
          <w:tcPr>
            <w:tcW w:w="993"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3,1</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5,7</w:t>
            </w:r>
          </w:p>
        </w:tc>
        <w:tc>
          <w:tcPr>
            <w:tcW w:w="851"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10,38</w:t>
            </w:r>
          </w:p>
        </w:tc>
        <w:tc>
          <w:tcPr>
            <w:tcW w:w="850" w:type="dxa"/>
            <w:vAlign w:val="center"/>
          </w:tcPr>
          <w:p w:rsidR="007A4183" w:rsidRPr="004556A4" w:rsidRDefault="007A4183" w:rsidP="004556A4">
            <w:pPr>
              <w:spacing w:before="80" w:after="80" w:line="264" w:lineRule="auto"/>
              <w:jc w:val="center"/>
              <w:rPr>
                <w:sz w:val="24"/>
                <w:szCs w:val="24"/>
                <w:lang w:val="en-US" w:eastAsia="en-US"/>
              </w:rPr>
            </w:pPr>
            <w:r w:rsidRPr="004556A4">
              <w:rPr>
                <w:sz w:val="24"/>
                <w:szCs w:val="24"/>
                <w:lang w:val="en-US" w:eastAsia="en-US"/>
              </w:rPr>
              <w:t>11,58</w:t>
            </w:r>
          </w:p>
        </w:tc>
      </w:tr>
    </w:tbl>
    <w:p w:rsidR="007A4183" w:rsidRPr="00075CD2" w:rsidRDefault="007A4183" w:rsidP="00075CD2">
      <w:pPr>
        <w:spacing w:before="240" w:after="240" w:line="276" w:lineRule="auto"/>
        <w:ind w:firstLine="720"/>
        <w:jc w:val="both"/>
        <w:rPr>
          <w:lang w:val="en-US" w:eastAsia="en-US"/>
        </w:rPr>
      </w:pPr>
      <w:r w:rsidRPr="004556A4">
        <w:rPr>
          <w:lang w:val="pl-PL" w:eastAsia="en-US"/>
        </w:rPr>
        <w:t xml:space="preserve">Trên ðây là </w:t>
      </w:r>
      <w:r>
        <w:rPr>
          <w:lang w:val="pl-PL" w:eastAsia="en-US"/>
        </w:rPr>
        <w:t xml:space="preserve">báo cáo </w:t>
      </w:r>
      <w:r w:rsidRPr="004556A4">
        <w:rPr>
          <w:lang w:val="pl-PL" w:eastAsia="en-US"/>
        </w:rPr>
        <w:t xml:space="preserve">tổng hợp, ðánh giá </w:t>
      </w:r>
      <w:r w:rsidRPr="004556A4">
        <w:rPr>
          <w:szCs w:val="22"/>
          <w:lang w:val="pl-PL" w:eastAsia="en-US"/>
        </w:rPr>
        <w:t xml:space="preserve">thực hiện chính sách thuế bảo vệ môi trýờng </w:t>
      </w:r>
      <w:r w:rsidRPr="004556A4">
        <w:rPr>
          <w:lang w:val="pl-PL" w:eastAsia="en-US"/>
        </w:rPr>
        <w:t>trên ðịa bàn</w:t>
      </w:r>
      <w:r>
        <w:rPr>
          <w:lang w:val="pl-PL" w:eastAsia="en-US"/>
        </w:rPr>
        <w:t xml:space="preserve"> tỉnh Quảng Bình,</w:t>
      </w:r>
      <w:r w:rsidRPr="004556A4">
        <w:rPr>
          <w:lang w:val="pl-PL" w:eastAsia="en-US"/>
        </w:rPr>
        <w:t xml:space="preserve"> </w:t>
      </w:r>
      <w:r>
        <w:rPr>
          <w:lang w:val="pl-PL" w:eastAsia="en-US"/>
        </w:rPr>
        <w:t>UBND</w:t>
      </w:r>
      <w:r w:rsidRPr="004556A4">
        <w:rPr>
          <w:lang w:val="pl-PL" w:eastAsia="en-US"/>
        </w:rPr>
        <w:t xml:space="preserve"> </w:t>
      </w:r>
      <w:r w:rsidRPr="004556A4">
        <w:rPr>
          <w:lang w:eastAsia="en-US"/>
        </w:rPr>
        <w:t xml:space="preserve">tỉnh </w:t>
      </w:r>
      <w:r w:rsidRPr="004556A4">
        <w:rPr>
          <w:lang w:val="pl-PL" w:eastAsia="en-US"/>
        </w:rPr>
        <w:t>Quảng Bình</w:t>
      </w:r>
      <w:r>
        <w:rPr>
          <w:lang w:val="pl-PL" w:eastAsia="en-US"/>
        </w:rPr>
        <w:t xml:space="preserve"> báo cáo Bộ Tài chính (Vụ Chính sách Thuế) </w:t>
      </w:r>
      <w:r w:rsidRPr="004556A4">
        <w:rPr>
          <w:lang w:val="pl-PL" w:eastAsia="en-US"/>
        </w:rPr>
        <w:t>tổng hợp./.</w:t>
      </w:r>
    </w:p>
    <w:tbl>
      <w:tblPr>
        <w:tblW w:w="9240" w:type="dxa"/>
        <w:tblInd w:w="108" w:type="dxa"/>
        <w:tblLook w:val="01E0"/>
      </w:tblPr>
      <w:tblGrid>
        <w:gridCol w:w="5320"/>
        <w:gridCol w:w="3920"/>
      </w:tblGrid>
      <w:tr w:rsidR="007A4183" w:rsidRPr="002D6011" w:rsidTr="002603FF">
        <w:trPr>
          <w:trHeight w:hRule="exact" w:val="3104"/>
        </w:trPr>
        <w:tc>
          <w:tcPr>
            <w:tcW w:w="5320" w:type="dxa"/>
          </w:tcPr>
          <w:p w:rsidR="007A4183" w:rsidRPr="00CE53F8" w:rsidRDefault="007A4183" w:rsidP="006644E6">
            <w:pPr>
              <w:jc w:val="center"/>
              <w:rPr>
                <w:sz w:val="12"/>
              </w:rPr>
            </w:pPr>
          </w:p>
          <w:p w:rsidR="007A4183" w:rsidRPr="008C68D7" w:rsidRDefault="007A4183" w:rsidP="006644E6">
            <w:pPr>
              <w:spacing w:after="100"/>
              <w:rPr>
                <w:b/>
                <w:bCs/>
                <w:i/>
                <w:iCs/>
                <w:sz w:val="24"/>
                <w:szCs w:val="24"/>
                <w:lang w:val="es-ES"/>
              </w:rPr>
            </w:pPr>
            <w:r w:rsidRPr="008C68D7">
              <w:rPr>
                <w:b/>
                <w:bCs/>
                <w:i/>
                <w:iCs/>
                <w:sz w:val="24"/>
                <w:szCs w:val="24"/>
                <w:lang w:val="es-ES"/>
              </w:rPr>
              <w:t>Nơi nhận:</w:t>
            </w:r>
          </w:p>
          <w:p w:rsidR="007A4183" w:rsidRDefault="007A4183" w:rsidP="006644E6">
            <w:pPr>
              <w:rPr>
                <w:bCs/>
                <w:iCs/>
                <w:sz w:val="22"/>
                <w:szCs w:val="22"/>
                <w:lang w:val="es-ES"/>
              </w:rPr>
            </w:pPr>
            <w:r>
              <w:rPr>
                <w:bCs/>
                <w:iCs/>
                <w:sz w:val="22"/>
                <w:szCs w:val="22"/>
                <w:lang w:val="es-ES"/>
              </w:rPr>
              <w:t>- Bộ Tài chính (Vụ Chính sách Thuế);</w:t>
            </w:r>
          </w:p>
          <w:p w:rsidR="007A4183" w:rsidRDefault="007A4183" w:rsidP="006644E6">
            <w:pPr>
              <w:rPr>
                <w:bCs/>
                <w:iCs/>
                <w:sz w:val="22"/>
                <w:szCs w:val="22"/>
                <w:lang w:val="es-ES"/>
              </w:rPr>
            </w:pPr>
            <w:r>
              <w:rPr>
                <w:bCs/>
                <w:iCs/>
                <w:sz w:val="22"/>
                <w:szCs w:val="22"/>
                <w:lang w:val="es-ES"/>
              </w:rPr>
              <w:t>- CT và các PCT UBND tỉnh;</w:t>
            </w:r>
          </w:p>
          <w:p w:rsidR="007A4183" w:rsidRDefault="007A4183" w:rsidP="006644E6">
            <w:pPr>
              <w:rPr>
                <w:bCs/>
                <w:iCs/>
                <w:sz w:val="22"/>
                <w:szCs w:val="22"/>
                <w:lang w:val="es-ES"/>
              </w:rPr>
            </w:pPr>
            <w:r>
              <w:rPr>
                <w:bCs/>
                <w:iCs/>
                <w:sz w:val="22"/>
                <w:szCs w:val="22"/>
                <w:lang w:val="es-ES"/>
              </w:rPr>
              <w:t>- Cục Thuế;</w:t>
            </w:r>
          </w:p>
          <w:p w:rsidR="007A4183" w:rsidRDefault="007A4183" w:rsidP="006644E6">
            <w:pPr>
              <w:rPr>
                <w:bCs/>
                <w:iCs/>
                <w:sz w:val="22"/>
                <w:szCs w:val="22"/>
                <w:lang w:val="es-ES"/>
              </w:rPr>
            </w:pPr>
            <w:r>
              <w:rPr>
                <w:bCs/>
                <w:iCs/>
                <w:sz w:val="22"/>
                <w:szCs w:val="22"/>
                <w:lang w:val="es-ES"/>
              </w:rPr>
              <w:t>- LĐ VP UBND tỉnh;</w:t>
            </w:r>
          </w:p>
          <w:p w:rsidR="007A4183" w:rsidRDefault="007A4183" w:rsidP="006644E6">
            <w:pPr>
              <w:rPr>
                <w:bCs/>
                <w:iCs/>
                <w:sz w:val="22"/>
                <w:szCs w:val="22"/>
                <w:lang w:val="es-ES"/>
              </w:rPr>
            </w:pPr>
            <w:r>
              <w:rPr>
                <w:bCs/>
                <w:iCs/>
                <w:sz w:val="22"/>
                <w:szCs w:val="22"/>
                <w:lang w:val="es-ES"/>
              </w:rPr>
              <w:t>- Lưu: VT, KTTH.</w:t>
            </w: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Default="007A4183" w:rsidP="006644E6">
            <w:pPr>
              <w:rPr>
                <w:bCs/>
                <w:iCs/>
                <w:sz w:val="22"/>
                <w:szCs w:val="22"/>
                <w:lang w:val="es-ES"/>
              </w:rPr>
            </w:pPr>
          </w:p>
          <w:p w:rsidR="007A4183" w:rsidRPr="008C68D7" w:rsidRDefault="007A4183" w:rsidP="006644E6">
            <w:pPr>
              <w:rPr>
                <w:b/>
                <w:bCs/>
                <w:i/>
                <w:iCs/>
                <w:sz w:val="24"/>
                <w:szCs w:val="24"/>
                <w:lang w:val="es-ES"/>
              </w:rPr>
            </w:pPr>
          </w:p>
          <w:p w:rsidR="007A4183" w:rsidRPr="003409DD" w:rsidRDefault="007A4183" w:rsidP="006644E6">
            <w:pPr>
              <w:rPr>
                <w:sz w:val="22"/>
                <w:szCs w:val="24"/>
              </w:rPr>
            </w:pPr>
            <w:r>
              <w:rPr>
                <w:bCs/>
                <w:iCs/>
                <w:sz w:val="22"/>
                <w:szCs w:val="22"/>
                <w:lang w:val="es-ES"/>
              </w:rPr>
              <w:t xml:space="preserve">- </w:t>
            </w:r>
            <w:r w:rsidRPr="003E26EF">
              <w:rPr>
                <w:bCs/>
                <w:iCs/>
                <w:sz w:val="22"/>
                <w:szCs w:val="22"/>
                <w:lang w:val="da-DK"/>
              </w:rPr>
              <w:t>Lưu: VT</w:t>
            </w:r>
            <w:r>
              <w:rPr>
                <w:bCs/>
                <w:iCs/>
                <w:sz w:val="22"/>
                <w:szCs w:val="22"/>
                <w:lang w:val="da-DK"/>
              </w:rPr>
              <w:t>, KTTH</w:t>
            </w:r>
            <w:r w:rsidRPr="003E26EF">
              <w:rPr>
                <w:bCs/>
                <w:iCs/>
                <w:sz w:val="22"/>
                <w:szCs w:val="22"/>
                <w:lang w:val="da-DK"/>
              </w:rPr>
              <w:t>.</w:t>
            </w:r>
          </w:p>
          <w:p w:rsidR="007A4183" w:rsidRDefault="007A4183" w:rsidP="006644E6"/>
          <w:p w:rsidR="007A4183" w:rsidRDefault="007A4183" w:rsidP="006644E6">
            <w:pPr>
              <w:jc w:val="center"/>
            </w:pPr>
          </w:p>
          <w:p w:rsidR="007A4183" w:rsidRDefault="007A4183" w:rsidP="006644E6">
            <w:pPr>
              <w:jc w:val="center"/>
            </w:pPr>
          </w:p>
          <w:p w:rsidR="007A4183" w:rsidRDefault="007A4183" w:rsidP="006644E6">
            <w:pPr>
              <w:jc w:val="center"/>
            </w:pPr>
          </w:p>
          <w:p w:rsidR="007A4183" w:rsidRDefault="007A4183" w:rsidP="006644E6">
            <w:pPr>
              <w:jc w:val="center"/>
            </w:pPr>
          </w:p>
          <w:p w:rsidR="007A4183" w:rsidRPr="00C622FF" w:rsidRDefault="007A4183" w:rsidP="006644E6">
            <w:pPr>
              <w:jc w:val="center"/>
            </w:pPr>
          </w:p>
        </w:tc>
        <w:tc>
          <w:tcPr>
            <w:tcW w:w="3920" w:type="dxa"/>
          </w:tcPr>
          <w:p w:rsidR="007A4183" w:rsidRDefault="007A4183" w:rsidP="006644E6">
            <w:pPr>
              <w:jc w:val="center"/>
              <w:rPr>
                <w:b/>
                <w:color w:val="000000"/>
                <w:sz w:val="26"/>
                <w:lang w:val="sv-SE"/>
              </w:rPr>
            </w:pPr>
            <w:r>
              <w:rPr>
                <w:b/>
                <w:color w:val="000000"/>
                <w:sz w:val="26"/>
                <w:lang w:val="sv-SE"/>
              </w:rPr>
              <w:t>TM. ỦY BAN NHÂN DÂN</w:t>
            </w:r>
          </w:p>
          <w:p w:rsidR="007A4183" w:rsidRDefault="007A4183" w:rsidP="006644E6">
            <w:pPr>
              <w:jc w:val="center"/>
              <w:rPr>
                <w:b/>
                <w:color w:val="000000"/>
                <w:sz w:val="26"/>
                <w:lang w:val="sv-SE"/>
              </w:rPr>
            </w:pPr>
            <w:r>
              <w:rPr>
                <w:b/>
                <w:color w:val="000000"/>
                <w:sz w:val="26"/>
                <w:lang w:val="sv-SE"/>
              </w:rPr>
              <w:t>KT. CHỦ TỊCH</w:t>
            </w:r>
          </w:p>
          <w:p w:rsidR="007A4183" w:rsidRDefault="007A4183" w:rsidP="006644E6">
            <w:pPr>
              <w:jc w:val="center"/>
              <w:rPr>
                <w:b/>
                <w:color w:val="000000"/>
                <w:sz w:val="26"/>
                <w:lang w:val="sv-SE"/>
              </w:rPr>
            </w:pPr>
            <w:r>
              <w:rPr>
                <w:b/>
                <w:color w:val="000000"/>
                <w:sz w:val="26"/>
                <w:lang w:val="sv-SE"/>
              </w:rPr>
              <w:t>PHÓ CHỦ TỊCH</w:t>
            </w:r>
          </w:p>
          <w:p w:rsidR="007A4183" w:rsidRDefault="007A4183" w:rsidP="006644E6">
            <w:pPr>
              <w:jc w:val="center"/>
              <w:rPr>
                <w:b/>
                <w:color w:val="000000"/>
                <w:sz w:val="26"/>
                <w:lang w:val="sv-SE"/>
              </w:rPr>
            </w:pPr>
          </w:p>
          <w:p w:rsidR="007A4183" w:rsidRDefault="007A4183" w:rsidP="00DC54C8">
            <w:pPr>
              <w:jc w:val="center"/>
              <w:rPr>
                <w:b/>
                <w:color w:val="000000"/>
                <w:sz w:val="26"/>
                <w:lang w:val="sv-SE"/>
              </w:rPr>
            </w:pPr>
            <w:r>
              <w:rPr>
                <w:b/>
                <w:color w:val="000000"/>
                <w:sz w:val="26"/>
                <w:lang w:val="sv-SE"/>
              </w:rPr>
              <w:t>(Đã ký)</w:t>
            </w:r>
          </w:p>
          <w:p w:rsidR="007A4183" w:rsidRDefault="007A4183" w:rsidP="006644E6">
            <w:pPr>
              <w:rPr>
                <w:b/>
                <w:color w:val="000000"/>
                <w:lang w:val="sv-SE"/>
              </w:rPr>
            </w:pPr>
          </w:p>
          <w:p w:rsidR="007A4183" w:rsidRDefault="007A4183" w:rsidP="006644E6">
            <w:pPr>
              <w:rPr>
                <w:b/>
                <w:color w:val="000000"/>
                <w:sz w:val="12"/>
                <w:lang w:val="sv-SE"/>
              </w:rPr>
            </w:pPr>
          </w:p>
          <w:p w:rsidR="007A4183" w:rsidRDefault="007A4183" w:rsidP="006644E6">
            <w:pPr>
              <w:rPr>
                <w:b/>
                <w:color w:val="000000"/>
                <w:sz w:val="12"/>
                <w:lang w:val="sv-SE"/>
              </w:rPr>
            </w:pPr>
          </w:p>
          <w:p w:rsidR="007A4183" w:rsidRDefault="007A4183" w:rsidP="006644E6">
            <w:pPr>
              <w:rPr>
                <w:b/>
                <w:color w:val="000000"/>
                <w:sz w:val="12"/>
                <w:lang w:val="sv-SE"/>
              </w:rPr>
            </w:pPr>
          </w:p>
          <w:p w:rsidR="007A4183" w:rsidRDefault="007A4183" w:rsidP="004220CA">
            <w:pPr>
              <w:jc w:val="center"/>
              <w:rPr>
                <w:b/>
                <w:color w:val="000000"/>
                <w:sz w:val="12"/>
                <w:lang w:val="sv-SE"/>
              </w:rPr>
            </w:pPr>
          </w:p>
          <w:p w:rsidR="007A4183" w:rsidRDefault="007A4183" w:rsidP="004220CA">
            <w:pPr>
              <w:jc w:val="center"/>
              <w:rPr>
                <w:b/>
                <w:color w:val="000000"/>
                <w:sz w:val="12"/>
                <w:lang w:val="sv-SE"/>
              </w:rPr>
            </w:pPr>
          </w:p>
          <w:p w:rsidR="007A4183" w:rsidRDefault="007A4183" w:rsidP="004220CA">
            <w:pPr>
              <w:jc w:val="center"/>
              <w:rPr>
                <w:b/>
                <w:color w:val="000000"/>
                <w:sz w:val="12"/>
                <w:lang w:val="sv-SE"/>
              </w:rPr>
            </w:pPr>
          </w:p>
          <w:p w:rsidR="007A4183" w:rsidRPr="005B1F7D" w:rsidRDefault="007A4183" w:rsidP="004220CA">
            <w:pPr>
              <w:jc w:val="center"/>
              <w:rPr>
                <w:b/>
                <w:lang w:val="en-US"/>
              </w:rPr>
            </w:pPr>
            <w:r>
              <w:rPr>
                <w:b/>
                <w:color w:val="000000"/>
                <w:lang w:val="sv-SE"/>
              </w:rPr>
              <w:t>Nguyễn Xuân Quang</w:t>
            </w:r>
          </w:p>
        </w:tc>
      </w:tr>
    </w:tbl>
    <w:p w:rsidR="007A4183" w:rsidRPr="00013AFD" w:rsidRDefault="007A4183" w:rsidP="00F9610C">
      <w:pPr>
        <w:rPr>
          <w:sz w:val="2"/>
          <w:szCs w:val="2"/>
          <w:lang w:val="en-US"/>
        </w:rPr>
      </w:pPr>
    </w:p>
    <w:p w:rsidR="007A4183" w:rsidRPr="00DC54C8" w:rsidRDefault="007A4183">
      <w:pPr>
        <w:rPr>
          <w:sz w:val="2"/>
          <w:szCs w:val="2"/>
        </w:rPr>
      </w:pPr>
    </w:p>
    <w:sectPr w:rsidR="007A4183" w:rsidRPr="00DC54C8" w:rsidSect="00CB7E3B">
      <w:footerReference w:type="default" r:id="rId7"/>
      <w:pgSz w:w="11907" w:h="16840" w:code="9"/>
      <w:pgMar w:top="1021" w:right="1134" w:bottom="680"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E2" w:rsidRDefault="009B6AE2" w:rsidP="00CB7E3B">
      <w:r>
        <w:separator/>
      </w:r>
    </w:p>
  </w:endnote>
  <w:endnote w:type="continuationSeparator" w:id="1">
    <w:p w:rsidR="009B6AE2" w:rsidRDefault="009B6AE2" w:rsidP="00CB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83" w:rsidRDefault="00024397">
    <w:pPr>
      <w:pStyle w:val="Footer"/>
      <w:jc w:val="center"/>
    </w:pPr>
    <w:fldSimple w:instr=" PAGE   \* MERGEFORMAT ">
      <w:r w:rsidR="00E873CE">
        <w:rPr>
          <w:noProof/>
        </w:rPr>
        <w:t>1</w:t>
      </w:r>
    </w:fldSimple>
  </w:p>
  <w:p w:rsidR="007A4183" w:rsidRDefault="007A4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E2" w:rsidRDefault="009B6AE2" w:rsidP="00CB7E3B">
      <w:r>
        <w:separator/>
      </w:r>
    </w:p>
  </w:footnote>
  <w:footnote w:type="continuationSeparator" w:id="1">
    <w:p w:rsidR="009B6AE2" w:rsidRDefault="009B6AE2" w:rsidP="00CB7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61"/>
    <w:multiLevelType w:val="hybridMultilevel"/>
    <w:tmpl w:val="1AA6BD60"/>
    <w:lvl w:ilvl="0" w:tplc="B42CB43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03667E6"/>
    <w:multiLevelType w:val="hybridMultilevel"/>
    <w:tmpl w:val="6B10B488"/>
    <w:lvl w:ilvl="0" w:tplc="529CC620">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2D507EB"/>
    <w:multiLevelType w:val="hybridMultilevel"/>
    <w:tmpl w:val="BF14EE34"/>
    <w:lvl w:ilvl="0" w:tplc="DFFA05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8A16167"/>
    <w:multiLevelType w:val="hybridMultilevel"/>
    <w:tmpl w:val="6AB07804"/>
    <w:lvl w:ilvl="0" w:tplc="A810F9F6">
      <w:start w:val="1"/>
      <w:numFmt w:val="decimal"/>
      <w:lvlText w:val="%1."/>
      <w:lvlJc w:val="left"/>
      <w:pPr>
        <w:ind w:left="928" w:hanging="360"/>
      </w:pPr>
      <w:rPr>
        <w:rFonts w:cs="Times New Roman" w:hint="default"/>
        <w:i w:val="0"/>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699C4502"/>
    <w:multiLevelType w:val="hybridMultilevel"/>
    <w:tmpl w:val="CAB87968"/>
    <w:lvl w:ilvl="0" w:tplc="6CBAB9E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1C71CA6"/>
    <w:multiLevelType w:val="hybridMultilevel"/>
    <w:tmpl w:val="BF6E9752"/>
    <w:lvl w:ilvl="0" w:tplc="DA045A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0BDD"/>
    <w:rsid w:val="00013AFD"/>
    <w:rsid w:val="000142AA"/>
    <w:rsid w:val="00024397"/>
    <w:rsid w:val="000567F8"/>
    <w:rsid w:val="00061E14"/>
    <w:rsid w:val="00064FA5"/>
    <w:rsid w:val="00075CD2"/>
    <w:rsid w:val="00075F09"/>
    <w:rsid w:val="00090314"/>
    <w:rsid w:val="00147319"/>
    <w:rsid w:val="00152D14"/>
    <w:rsid w:val="00160A58"/>
    <w:rsid w:val="00160B92"/>
    <w:rsid w:val="00177A78"/>
    <w:rsid w:val="001D7ECF"/>
    <w:rsid w:val="0020706A"/>
    <w:rsid w:val="00237A84"/>
    <w:rsid w:val="00255EA6"/>
    <w:rsid w:val="002603FF"/>
    <w:rsid w:val="002A2FC0"/>
    <w:rsid w:val="002D6011"/>
    <w:rsid w:val="0032123B"/>
    <w:rsid w:val="00321EE9"/>
    <w:rsid w:val="003409DD"/>
    <w:rsid w:val="00340A4A"/>
    <w:rsid w:val="003509FB"/>
    <w:rsid w:val="0035403B"/>
    <w:rsid w:val="00372074"/>
    <w:rsid w:val="00385867"/>
    <w:rsid w:val="00392682"/>
    <w:rsid w:val="003D28B1"/>
    <w:rsid w:val="003E26EF"/>
    <w:rsid w:val="004102D7"/>
    <w:rsid w:val="004109C1"/>
    <w:rsid w:val="00410BDD"/>
    <w:rsid w:val="004220CA"/>
    <w:rsid w:val="004526AA"/>
    <w:rsid w:val="004534BF"/>
    <w:rsid w:val="004556A4"/>
    <w:rsid w:val="004B571C"/>
    <w:rsid w:val="004E65CA"/>
    <w:rsid w:val="00522CBD"/>
    <w:rsid w:val="00532C97"/>
    <w:rsid w:val="0054558B"/>
    <w:rsid w:val="00561B2C"/>
    <w:rsid w:val="00573774"/>
    <w:rsid w:val="00577854"/>
    <w:rsid w:val="005862AD"/>
    <w:rsid w:val="005B1F7D"/>
    <w:rsid w:val="006171CB"/>
    <w:rsid w:val="00622058"/>
    <w:rsid w:val="006644E6"/>
    <w:rsid w:val="006806BC"/>
    <w:rsid w:val="00681B9D"/>
    <w:rsid w:val="006C0645"/>
    <w:rsid w:val="006D5F6C"/>
    <w:rsid w:val="006F695C"/>
    <w:rsid w:val="007074BB"/>
    <w:rsid w:val="007244FD"/>
    <w:rsid w:val="00752664"/>
    <w:rsid w:val="00755399"/>
    <w:rsid w:val="00774FEC"/>
    <w:rsid w:val="007A11DA"/>
    <w:rsid w:val="007A4183"/>
    <w:rsid w:val="007C4A5D"/>
    <w:rsid w:val="007E2F4F"/>
    <w:rsid w:val="00824F78"/>
    <w:rsid w:val="008307DD"/>
    <w:rsid w:val="008401C0"/>
    <w:rsid w:val="00876B25"/>
    <w:rsid w:val="00893DC0"/>
    <w:rsid w:val="00896351"/>
    <w:rsid w:val="008C34F0"/>
    <w:rsid w:val="008C68D7"/>
    <w:rsid w:val="008E2CD9"/>
    <w:rsid w:val="008F2D89"/>
    <w:rsid w:val="0090583E"/>
    <w:rsid w:val="00957A2A"/>
    <w:rsid w:val="00975AA0"/>
    <w:rsid w:val="00976448"/>
    <w:rsid w:val="009925AC"/>
    <w:rsid w:val="009B6AE2"/>
    <w:rsid w:val="009C5336"/>
    <w:rsid w:val="009C7685"/>
    <w:rsid w:val="009F767D"/>
    <w:rsid w:val="00A00BFA"/>
    <w:rsid w:val="00A16186"/>
    <w:rsid w:val="00A167F9"/>
    <w:rsid w:val="00A21828"/>
    <w:rsid w:val="00A403D2"/>
    <w:rsid w:val="00A56EFC"/>
    <w:rsid w:val="00B32A6A"/>
    <w:rsid w:val="00B47B8B"/>
    <w:rsid w:val="00B51EEE"/>
    <w:rsid w:val="00B6211B"/>
    <w:rsid w:val="00B63A4D"/>
    <w:rsid w:val="00B74411"/>
    <w:rsid w:val="00BA08D9"/>
    <w:rsid w:val="00BD1B08"/>
    <w:rsid w:val="00BF5679"/>
    <w:rsid w:val="00C2739C"/>
    <w:rsid w:val="00C3732C"/>
    <w:rsid w:val="00C4115F"/>
    <w:rsid w:val="00C622FF"/>
    <w:rsid w:val="00C84522"/>
    <w:rsid w:val="00C87F84"/>
    <w:rsid w:val="00C9512A"/>
    <w:rsid w:val="00CB7E3B"/>
    <w:rsid w:val="00CE53F8"/>
    <w:rsid w:val="00D0094C"/>
    <w:rsid w:val="00D013D6"/>
    <w:rsid w:val="00D34A2F"/>
    <w:rsid w:val="00D74BDB"/>
    <w:rsid w:val="00DA04F5"/>
    <w:rsid w:val="00DC54C8"/>
    <w:rsid w:val="00DD0943"/>
    <w:rsid w:val="00DE3AB5"/>
    <w:rsid w:val="00DE54D7"/>
    <w:rsid w:val="00E873CE"/>
    <w:rsid w:val="00E92289"/>
    <w:rsid w:val="00E94B78"/>
    <w:rsid w:val="00EE043C"/>
    <w:rsid w:val="00EE1FCB"/>
    <w:rsid w:val="00EF4DB9"/>
    <w:rsid w:val="00F24CDA"/>
    <w:rsid w:val="00F36549"/>
    <w:rsid w:val="00F43EAF"/>
    <w:rsid w:val="00F73F1E"/>
    <w:rsid w:val="00F8161A"/>
    <w:rsid w:val="00F9610C"/>
    <w:rsid w:val="00F96FC1"/>
    <w:rsid w:val="00FB7259"/>
    <w:rsid w:val="00FC485E"/>
    <w:rsid w:val="00FD2B83"/>
    <w:rsid w:val="00FD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0C"/>
    <w:rPr>
      <w:rFonts w:ascii="Times New Roman" w:eastAsia="Times New Roman" w:hAnsi="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610C"/>
    <w:pPr>
      <w:ind w:left="720"/>
      <w:contextualSpacing/>
    </w:pPr>
  </w:style>
  <w:style w:type="paragraph" w:customStyle="1" w:styleId="CharCharCharChar">
    <w:name w:val="Char Char Char Char"/>
    <w:basedOn w:val="Normal"/>
    <w:uiPriority w:val="99"/>
    <w:rsid w:val="00876B25"/>
    <w:pPr>
      <w:spacing w:after="160" w:line="240" w:lineRule="exact"/>
    </w:pPr>
    <w:rPr>
      <w:rFonts w:ascii="Tahoma" w:eastAsia="PMingLiU" w:hAnsi="Tahoma"/>
      <w:sz w:val="20"/>
      <w:szCs w:val="20"/>
      <w:lang w:val="en-US" w:eastAsia="en-US"/>
    </w:rPr>
  </w:style>
  <w:style w:type="paragraph" w:styleId="Header">
    <w:name w:val="header"/>
    <w:basedOn w:val="Normal"/>
    <w:link w:val="HeaderChar"/>
    <w:uiPriority w:val="99"/>
    <w:rsid w:val="00CB7E3B"/>
    <w:pPr>
      <w:tabs>
        <w:tab w:val="center" w:pos="4680"/>
        <w:tab w:val="right" w:pos="9360"/>
      </w:tabs>
    </w:pPr>
  </w:style>
  <w:style w:type="character" w:customStyle="1" w:styleId="HeaderChar">
    <w:name w:val="Header Char"/>
    <w:basedOn w:val="DefaultParagraphFont"/>
    <w:link w:val="Header"/>
    <w:uiPriority w:val="99"/>
    <w:locked/>
    <w:rsid w:val="00CB7E3B"/>
    <w:rPr>
      <w:rFonts w:ascii="Times New Roman" w:hAnsi="Times New Roman" w:cs="Times New Roman"/>
      <w:sz w:val="28"/>
      <w:szCs w:val="28"/>
      <w:lang w:val="vi-VN" w:eastAsia="vi-VN"/>
    </w:rPr>
  </w:style>
  <w:style w:type="paragraph" w:styleId="Footer">
    <w:name w:val="footer"/>
    <w:basedOn w:val="Normal"/>
    <w:link w:val="FooterChar"/>
    <w:uiPriority w:val="99"/>
    <w:rsid w:val="00CB7E3B"/>
    <w:pPr>
      <w:tabs>
        <w:tab w:val="center" w:pos="4680"/>
        <w:tab w:val="right" w:pos="9360"/>
      </w:tabs>
    </w:pPr>
  </w:style>
  <w:style w:type="character" w:customStyle="1" w:styleId="FooterChar">
    <w:name w:val="Footer Char"/>
    <w:basedOn w:val="DefaultParagraphFont"/>
    <w:link w:val="Footer"/>
    <w:uiPriority w:val="99"/>
    <w:locked/>
    <w:rsid w:val="00CB7E3B"/>
    <w:rPr>
      <w:rFonts w:ascii="Times New Roman" w:hAnsi="Times New Roman" w:cs="Times New Roman"/>
      <w:sz w:val="28"/>
      <w:szCs w:val="28"/>
      <w:lang w:val="vi-VN" w:eastAsia="vi-VN"/>
    </w:rPr>
  </w:style>
  <w:style w:type="paragraph" w:styleId="BalloonText">
    <w:name w:val="Balloon Text"/>
    <w:basedOn w:val="Normal"/>
    <w:link w:val="BalloonTextChar"/>
    <w:uiPriority w:val="99"/>
    <w:semiHidden/>
    <w:rsid w:val="004E6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5CA"/>
    <w:rPr>
      <w:rFonts w:ascii="Tahoma"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Company>Microsoft</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2016-12-21T03:52:00Z</cp:lastPrinted>
  <dcterms:created xsi:type="dcterms:W3CDTF">2016-12-22T09:11:00Z</dcterms:created>
  <dcterms:modified xsi:type="dcterms:W3CDTF">2016-12-22T09:11:00Z</dcterms:modified>
</cp:coreProperties>
</file>