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884" w:type="pct"/>
        <w:tblInd w:w="108" w:type="dxa"/>
        <w:tblLook w:val="04A0"/>
      </w:tblPr>
      <w:tblGrid>
        <w:gridCol w:w="3543"/>
        <w:gridCol w:w="5855"/>
      </w:tblGrid>
      <w:tr w:rsidR="00983ADB" w:rsidRPr="00882E3E" w:rsidTr="001C211C">
        <w:trPr>
          <w:trHeight w:val="1083"/>
        </w:trPr>
        <w:tc>
          <w:tcPr>
            <w:tcW w:w="3543" w:type="dxa"/>
            <w:tcBorders>
              <w:top w:val="nil"/>
              <w:left w:val="nil"/>
              <w:bottom w:val="nil"/>
              <w:right w:val="nil"/>
            </w:tcBorders>
            <w:hideMark/>
          </w:tcPr>
          <w:p w:rsidR="00983ADB" w:rsidRPr="003E1D7B" w:rsidRDefault="007F5A85" w:rsidP="008653A0">
            <w:r w:rsidRPr="003E1D7B">
              <w:t>ỦY BAN NHÂN DÂN</w:t>
            </w:r>
          </w:p>
          <w:p w:rsidR="007F5A85" w:rsidRPr="003E1D7B" w:rsidRDefault="007F5A85" w:rsidP="007F5A85">
            <w:pPr>
              <w:spacing w:line="240" w:lineRule="auto"/>
              <w:jc w:val="center"/>
              <w:rPr>
                <w:rFonts w:eastAsia="Times New Roman" w:cs="Times New Roman"/>
                <w:b/>
                <w:sz w:val="27"/>
                <w:szCs w:val="27"/>
              </w:rPr>
            </w:pPr>
            <w:r w:rsidRPr="003E1D7B">
              <w:rPr>
                <w:rFonts w:eastAsia="Times New Roman" w:cs="Times New Roman"/>
                <w:b/>
                <w:sz w:val="27"/>
                <w:szCs w:val="27"/>
              </w:rPr>
              <w:t>TỈNH QUẢNG BÌNH</w:t>
            </w:r>
          </w:p>
          <w:p w:rsidR="007F5A85" w:rsidRPr="003E1D7B" w:rsidRDefault="00B57E40" w:rsidP="00273DC3">
            <w:pPr>
              <w:spacing w:before="240" w:line="240" w:lineRule="auto"/>
              <w:jc w:val="center"/>
              <w:rPr>
                <w:rFonts w:eastAsia="Times New Roman" w:cs="Times New Roman"/>
                <w:szCs w:val="28"/>
              </w:rPr>
            </w:pPr>
            <w:r w:rsidRPr="00B57E40">
              <w:rPr>
                <w:rFonts w:eastAsia="Times New Roman" w:cs="Times New Roman"/>
                <w:b/>
                <w:noProof/>
                <w:szCs w:val="28"/>
                <w:lang w:val="vi-VN" w:eastAsia="vi-VN"/>
              </w:rPr>
              <w:pict>
                <v:shapetype id="_x0000_t32" coordsize="21600,21600" o:spt="32" o:oned="t" path="m,l21600,21600e" filled="f">
                  <v:path arrowok="t" fillok="f" o:connecttype="none"/>
                  <o:lock v:ext="edit" shapetype="t"/>
                </v:shapetype>
                <v:shape id="_x0000_s1029" type="#_x0000_t32" style="position:absolute;left:0;text-align:left;margin-left:50.35pt;margin-top:1.9pt;width:63pt;height:.1pt;flip:y;z-index:251663360" o:connectortype="straight"/>
              </w:pict>
            </w:r>
            <w:r w:rsidR="007F5A85" w:rsidRPr="003E1D7B">
              <w:rPr>
                <w:rFonts w:eastAsia="Times New Roman" w:cs="Times New Roman"/>
                <w:szCs w:val="28"/>
              </w:rPr>
              <w:t xml:space="preserve">Số:  </w:t>
            </w:r>
            <w:r w:rsidR="008653A0">
              <w:rPr>
                <w:rFonts w:eastAsia="Times New Roman" w:cs="Times New Roman"/>
                <w:szCs w:val="28"/>
              </w:rPr>
              <w:t>2185</w:t>
            </w:r>
            <w:r w:rsidR="005A4C94">
              <w:rPr>
                <w:rFonts w:eastAsia="Times New Roman" w:cs="Times New Roman"/>
                <w:szCs w:val="28"/>
              </w:rPr>
              <w:t>/</w:t>
            </w:r>
            <w:r w:rsidR="005A4C94">
              <w:t>CTr</w:t>
            </w:r>
            <w:r w:rsidR="005A4C94" w:rsidRPr="00545A84">
              <w:rPr>
                <w:lang w:val="vi-VN"/>
              </w:rPr>
              <w:t>-UBND</w:t>
            </w:r>
          </w:p>
        </w:tc>
        <w:tc>
          <w:tcPr>
            <w:tcW w:w="5855" w:type="dxa"/>
            <w:tcBorders>
              <w:top w:val="nil"/>
              <w:left w:val="nil"/>
              <w:bottom w:val="nil"/>
              <w:right w:val="nil"/>
            </w:tcBorders>
            <w:hideMark/>
          </w:tcPr>
          <w:p w:rsidR="00983ADB" w:rsidRPr="003E1D7B" w:rsidRDefault="007F5A85" w:rsidP="007F5A85">
            <w:pPr>
              <w:spacing w:line="240" w:lineRule="auto"/>
              <w:jc w:val="center"/>
              <w:rPr>
                <w:rFonts w:eastAsia="Times New Roman" w:cs="Times New Roman"/>
                <w:b/>
                <w:sz w:val="26"/>
                <w:szCs w:val="26"/>
              </w:rPr>
            </w:pPr>
            <w:r w:rsidRPr="003E1D7B">
              <w:rPr>
                <w:rFonts w:eastAsia="Times New Roman" w:cs="Times New Roman"/>
                <w:b/>
                <w:sz w:val="26"/>
                <w:szCs w:val="26"/>
              </w:rPr>
              <w:t>CỘNG HÒA XÃ HỘI CHỦ NGHĨA VIỆT NAM</w:t>
            </w:r>
          </w:p>
          <w:p w:rsidR="007F5A85" w:rsidRPr="003E1D7B" w:rsidRDefault="007F5A85" w:rsidP="007F5A85">
            <w:pPr>
              <w:spacing w:line="240" w:lineRule="auto"/>
              <w:jc w:val="center"/>
              <w:rPr>
                <w:rFonts w:eastAsia="Times New Roman" w:cs="Times New Roman"/>
                <w:b/>
                <w:szCs w:val="28"/>
              </w:rPr>
            </w:pPr>
            <w:r w:rsidRPr="003E1D7B">
              <w:rPr>
                <w:rFonts w:eastAsia="Times New Roman" w:cs="Times New Roman"/>
                <w:b/>
                <w:szCs w:val="28"/>
              </w:rPr>
              <w:t>Độc lập – Tự do – Hạnh phúc</w:t>
            </w:r>
          </w:p>
          <w:p w:rsidR="007F5A85" w:rsidRPr="007F5A85" w:rsidRDefault="00B57E40" w:rsidP="008653A0">
            <w:pPr>
              <w:spacing w:before="240" w:line="240" w:lineRule="auto"/>
              <w:jc w:val="right"/>
              <w:rPr>
                <w:rFonts w:eastAsia="Times New Roman" w:cs="Times New Roman"/>
                <w:i/>
                <w:sz w:val="27"/>
                <w:szCs w:val="27"/>
              </w:rPr>
            </w:pPr>
            <w:r w:rsidRPr="00B57E40">
              <w:rPr>
                <w:rFonts w:eastAsia="Times New Roman" w:cs="Times New Roman"/>
                <w:i/>
                <w:noProof/>
                <w:szCs w:val="28"/>
                <w:lang w:val="vi-VN" w:eastAsia="vi-VN"/>
              </w:rPr>
              <w:pict>
                <v:shape id="_x0000_s1030" type="#_x0000_t32" style="position:absolute;left:0;text-align:left;margin-left:97.15pt;margin-top:1.9pt;width:92.45pt;height:.1pt;z-index:251664384" o:connectortype="straight"/>
              </w:pict>
            </w:r>
            <w:r w:rsidR="007F5A85" w:rsidRPr="003E1D7B">
              <w:rPr>
                <w:rFonts w:eastAsia="Times New Roman" w:cs="Times New Roman"/>
                <w:i/>
                <w:szCs w:val="28"/>
              </w:rPr>
              <w:t xml:space="preserve">Quảng Bình, ngày  </w:t>
            </w:r>
            <w:r w:rsidR="008653A0">
              <w:rPr>
                <w:rFonts w:eastAsia="Times New Roman" w:cs="Times New Roman"/>
                <w:i/>
                <w:szCs w:val="28"/>
              </w:rPr>
              <w:t>20</w:t>
            </w:r>
            <w:r w:rsidR="007F5A85" w:rsidRPr="003E1D7B">
              <w:rPr>
                <w:rFonts w:eastAsia="Times New Roman" w:cs="Times New Roman"/>
                <w:i/>
                <w:szCs w:val="28"/>
              </w:rPr>
              <w:t xml:space="preserve"> tháng 11 năm 2017</w:t>
            </w:r>
          </w:p>
        </w:tc>
      </w:tr>
      <w:tr w:rsidR="00983ADB" w:rsidRPr="00882E3E" w:rsidTr="001C211C">
        <w:tc>
          <w:tcPr>
            <w:tcW w:w="3543" w:type="dxa"/>
            <w:tcBorders>
              <w:top w:val="nil"/>
              <w:bottom w:val="nil"/>
            </w:tcBorders>
            <w:hideMark/>
          </w:tcPr>
          <w:p w:rsidR="00983ADB" w:rsidRPr="00882E3E" w:rsidRDefault="00983ADB" w:rsidP="0016249D">
            <w:pPr>
              <w:spacing w:before="100" w:beforeAutospacing="1" w:after="100" w:afterAutospacing="1" w:line="240" w:lineRule="auto"/>
              <w:jc w:val="center"/>
              <w:rPr>
                <w:rFonts w:eastAsia="Times New Roman" w:cs="Times New Roman"/>
                <w:sz w:val="24"/>
                <w:szCs w:val="24"/>
              </w:rPr>
            </w:pPr>
          </w:p>
        </w:tc>
        <w:tc>
          <w:tcPr>
            <w:tcW w:w="5855" w:type="dxa"/>
            <w:tcBorders>
              <w:top w:val="nil"/>
              <w:bottom w:val="nil"/>
            </w:tcBorders>
            <w:hideMark/>
          </w:tcPr>
          <w:p w:rsidR="00983ADB" w:rsidRPr="00882E3E" w:rsidRDefault="00983ADB" w:rsidP="0016249D">
            <w:pPr>
              <w:spacing w:before="100" w:beforeAutospacing="1" w:after="100" w:afterAutospacing="1" w:line="240" w:lineRule="auto"/>
              <w:jc w:val="right"/>
              <w:rPr>
                <w:rFonts w:eastAsia="Times New Roman" w:cs="Times New Roman"/>
                <w:sz w:val="24"/>
                <w:szCs w:val="24"/>
              </w:rPr>
            </w:pPr>
          </w:p>
        </w:tc>
      </w:tr>
      <w:tr w:rsidR="007F5A85" w:rsidTr="001C211C">
        <w:trPr>
          <w:trHeight w:val="334"/>
        </w:trPr>
        <w:tc>
          <w:tcPr>
            <w:tcW w:w="3543" w:type="dxa"/>
            <w:tcBorders>
              <w:top w:val="nil"/>
              <w:left w:val="nil"/>
              <w:bottom w:val="nil"/>
              <w:right w:val="nil"/>
            </w:tcBorders>
          </w:tcPr>
          <w:p w:rsidR="007F5A85" w:rsidRDefault="007F5A85" w:rsidP="007F5A85"/>
        </w:tc>
        <w:tc>
          <w:tcPr>
            <w:tcW w:w="5855" w:type="dxa"/>
            <w:tcBorders>
              <w:top w:val="nil"/>
              <w:left w:val="nil"/>
              <w:bottom w:val="nil"/>
              <w:right w:val="nil"/>
            </w:tcBorders>
          </w:tcPr>
          <w:p w:rsidR="007F5A85" w:rsidRDefault="007F5A85" w:rsidP="007F5A85"/>
        </w:tc>
      </w:tr>
    </w:tbl>
    <w:p w:rsidR="00983ADB" w:rsidRPr="00BF50A0" w:rsidRDefault="00FE1A40" w:rsidP="00BF50A0">
      <w:pPr>
        <w:jc w:val="center"/>
        <w:rPr>
          <w:b/>
          <w:sz w:val="24"/>
          <w:szCs w:val="24"/>
        </w:rPr>
      </w:pPr>
      <w:r>
        <w:rPr>
          <w:rFonts w:eastAsia="Times New Roman" w:cs="Times New Roman"/>
          <w:b/>
          <w:bCs/>
          <w:szCs w:val="28"/>
        </w:rPr>
        <w:t xml:space="preserve">CHƯƠNG TRÌNH </w:t>
      </w:r>
      <w:r w:rsidR="00BF50A0">
        <w:rPr>
          <w:rFonts w:eastAsia="Times New Roman" w:cs="Times New Roman"/>
          <w:b/>
          <w:bCs/>
          <w:szCs w:val="28"/>
        </w:rPr>
        <w:t>HÀNH ĐỘNG</w:t>
      </w:r>
    </w:p>
    <w:p w:rsidR="00983ADB" w:rsidRDefault="00983ADB" w:rsidP="00BF50A0">
      <w:pPr>
        <w:spacing w:line="240" w:lineRule="auto"/>
        <w:jc w:val="center"/>
        <w:rPr>
          <w:b/>
          <w:szCs w:val="28"/>
        </w:rPr>
      </w:pPr>
      <w:r w:rsidRPr="00D92802">
        <w:rPr>
          <w:b/>
          <w:szCs w:val="28"/>
        </w:rPr>
        <w:t>Triển khai thực hiện Quyết định số 1058/QĐ-TTg ngày 19/7/2017</w:t>
      </w:r>
    </w:p>
    <w:p w:rsidR="00983ADB" w:rsidRPr="00D92802" w:rsidRDefault="00983ADB" w:rsidP="00BF50A0">
      <w:pPr>
        <w:spacing w:line="240" w:lineRule="auto"/>
        <w:jc w:val="center"/>
        <w:rPr>
          <w:b/>
          <w:spacing w:val="-8"/>
          <w:szCs w:val="28"/>
        </w:rPr>
      </w:pPr>
      <w:r w:rsidRPr="00D92802">
        <w:rPr>
          <w:b/>
          <w:szCs w:val="28"/>
        </w:rPr>
        <w:t xml:space="preserve">của Thủ tướng Chính phủ trên địa bàn tỉnh </w:t>
      </w:r>
      <w:r>
        <w:rPr>
          <w:b/>
          <w:szCs w:val="28"/>
        </w:rPr>
        <w:t xml:space="preserve">Quảng </w:t>
      </w:r>
      <w:r w:rsidR="00BF50A0">
        <w:rPr>
          <w:b/>
          <w:szCs w:val="28"/>
        </w:rPr>
        <w:t>Bình</w:t>
      </w:r>
    </w:p>
    <w:p w:rsidR="00BF50A0" w:rsidRPr="001C211C" w:rsidRDefault="00B57E40" w:rsidP="00983ADB">
      <w:pPr>
        <w:spacing w:before="120" w:after="120" w:line="240" w:lineRule="auto"/>
        <w:ind w:firstLine="720"/>
        <w:rPr>
          <w:rFonts w:eastAsia="Times New Roman" w:cs="Times New Roman"/>
          <w:sz w:val="14"/>
          <w:szCs w:val="28"/>
        </w:rPr>
      </w:pPr>
      <w:r w:rsidRPr="00B57E40">
        <w:rPr>
          <w:b/>
          <w:noProof/>
          <w:sz w:val="14"/>
          <w:szCs w:val="28"/>
        </w:rPr>
        <w:pict>
          <v:line id="_x0000_s1028" style="position:absolute;left:0;text-align:left;z-index:251662336" from="186.05pt,3.05pt" to="285.15pt,3.05pt"/>
        </w:pict>
      </w:r>
    </w:p>
    <w:p w:rsidR="00983ADB" w:rsidRPr="00120DE5" w:rsidRDefault="001C211C" w:rsidP="00106CB7">
      <w:pPr>
        <w:spacing w:before="120" w:after="120" w:line="240" w:lineRule="auto"/>
        <w:ind w:firstLine="720"/>
        <w:rPr>
          <w:rFonts w:eastAsia="Times New Roman" w:cs="Times New Roman"/>
          <w:szCs w:val="28"/>
        </w:rPr>
      </w:pPr>
      <w:r>
        <w:rPr>
          <w:rFonts w:eastAsia="Times New Roman" w:cs="Times New Roman"/>
          <w:szCs w:val="28"/>
        </w:rPr>
        <w:t xml:space="preserve">Thực hiện Quyết định số </w:t>
      </w:r>
      <w:r w:rsidR="00983ADB" w:rsidRPr="00120DE5">
        <w:rPr>
          <w:rFonts w:eastAsia="Times New Roman" w:cs="Times New Roman"/>
          <w:szCs w:val="28"/>
        </w:rPr>
        <w:t>1058/QĐ-TTg ngày 19/7/2017 của Thủ tướng Chính phủ về</w:t>
      </w:r>
      <w:r w:rsidR="0076430D">
        <w:rPr>
          <w:rFonts w:eastAsia="Times New Roman" w:cs="Times New Roman"/>
          <w:szCs w:val="28"/>
        </w:rPr>
        <w:t xml:space="preserve"> việc</w:t>
      </w:r>
      <w:r w:rsidR="00983ADB" w:rsidRPr="00120DE5">
        <w:rPr>
          <w:rFonts w:eastAsia="Times New Roman" w:cs="Times New Roman"/>
          <w:szCs w:val="28"/>
        </w:rPr>
        <w:t xml:space="preserve"> phê duyệt Đề án “Cơ cấu lại hệ thống các tổ chức tín dụng gắn với xử lý nợ xấu giai đoạn 2016-2020” (</w:t>
      </w:r>
      <w:r w:rsidR="002C12DD" w:rsidRPr="00120DE5">
        <w:rPr>
          <w:rFonts w:eastAsia="Times New Roman" w:cs="Times New Roman"/>
          <w:szCs w:val="28"/>
        </w:rPr>
        <w:t>v</w:t>
      </w:r>
      <w:r w:rsidR="00983ADB" w:rsidRPr="00120DE5">
        <w:rPr>
          <w:rFonts w:eastAsia="Times New Roman" w:cs="Times New Roman"/>
          <w:szCs w:val="28"/>
        </w:rPr>
        <w:t>iết tắt là Quyết định</w:t>
      </w:r>
      <w:r w:rsidR="00106CB7" w:rsidRPr="00120DE5">
        <w:rPr>
          <w:rFonts w:eastAsia="Times New Roman" w:cs="Times New Roman"/>
          <w:szCs w:val="28"/>
        </w:rPr>
        <w:t xml:space="preserve">số </w:t>
      </w:r>
      <w:r w:rsidR="00983ADB" w:rsidRPr="00120DE5">
        <w:rPr>
          <w:rFonts w:eastAsia="Times New Roman" w:cs="Times New Roman"/>
          <w:szCs w:val="28"/>
        </w:rPr>
        <w:t>1058) và Chỉ thị số 32/CT-TTg (</w:t>
      </w:r>
      <w:r w:rsidR="002C12DD" w:rsidRPr="00120DE5">
        <w:rPr>
          <w:rFonts w:eastAsia="Times New Roman" w:cs="Times New Roman"/>
          <w:szCs w:val="28"/>
        </w:rPr>
        <w:t>v</w:t>
      </w:r>
      <w:r w:rsidR="00983ADB" w:rsidRPr="00120DE5">
        <w:rPr>
          <w:rFonts w:eastAsia="Times New Roman" w:cs="Times New Roman"/>
          <w:szCs w:val="28"/>
        </w:rPr>
        <w:t>iết tắt là Chỉ thị</w:t>
      </w:r>
      <w:r w:rsidR="008B7241" w:rsidRPr="00120DE5">
        <w:rPr>
          <w:rFonts w:eastAsia="Times New Roman" w:cs="Times New Roman"/>
          <w:szCs w:val="28"/>
        </w:rPr>
        <w:t>số</w:t>
      </w:r>
      <w:r w:rsidR="00983ADB" w:rsidRPr="00120DE5">
        <w:rPr>
          <w:rFonts w:eastAsia="Times New Roman" w:cs="Times New Roman"/>
          <w:szCs w:val="28"/>
        </w:rPr>
        <w:t>32) ngày 19/7/2017 triển khai thực hiện Nghị quyết số 42/2017/QH14 (</w:t>
      </w:r>
      <w:r w:rsidR="002C12DD" w:rsidRPr="00120DE5">
        <w:rPr>
          <w:rFonts w:eastAsia="Times New Roman" w:cs="Times New Roman"/>
          <w:szCs w:val="28"/>
        </w:rPr>
        <w:t>v</w:t>
      </w:r>
      <w:r w:rsidR="00983ADB" w:rsidRPr="00120DE5">
        <w:rPr>
          <w:rFonts w:eastAsia="Times New Roman" w:cs="Times New Roman"/>
          <w:szCs w:val="28"/>
        </w:rPr>
        <w:t xml:space="preserve">iết tắt là Nghị quyết </w:t>
      </w:r>
      <w:r w:rsidR="00106CB7" w:rsidRPr="00120DE5">
        <w:rPr>
          <w:rFonts w:eastAsia="Times New Roman" w:cs="Times New Roman"/>
          <w:szCs w:val="28"/>
        </w:rPr>
        <w:t xml:space="preserve">số </w:t>
      </w:r>
      <w:r w:rsidR="00983ADB" w:rsidRPr="00120DE5">
        <w:rPr>
          <w:rFonts w:eastAsia="Times New Roman" w:cs="Times New Roman"/>
          <w:szCs w:val="28"/>
        </w:rPr>
        <w:t xml:space="preserve">42) của Quốc hội về thí điểm xử lý nợ xấu của các tổ chức tín dụng (TCTD), </w:t>
      </w:r>
      <w:r w:rsidR="002C12DD" w:rsidRPr="00120DE5">
        <w:rPr>
          <w:rFonts w:eastAsia="Times New Roman" w:cs="Times New Roman"/>
          <w:szCs w:val="28"/>
        </w:rPr>
        <w:t>Ủy</w:t>
      </w:r>
      <w:r w:rsidR="00983ADB" w:rsidRPr="00120DE5">
        <w:rPr>
          <w:rFonts w:eastAsia="Times New Roman" w:cs="Times New Roman"/>
          <w:szCs w:val="28"/>
        </w:rPr>
        <w:t xml:space="preserve"> ban nhân dân (UBND) tỉnh Quảng </w:t>
      </w:r>
      <w:r w:rsidR="002C12DD" w:rsidRPr="00120DE5">
        <w:rPr>
          <w:rFonts w:eastAsia="Times New Roman" w:cs="Times New Roman"/>
          <w:szCs w:val="28"/>
        </w:rPr>
        <w:t>Bình</w:t>
      </w:r>
      <w:r w:rsidR="00983ADB" w:rsidRPr="00120DE5">
        <w:rPr>
          <w:rFonts w:eastAsia="Times New Roman" w:cs="Times New Roman"/>
          <w:szCs w:val="28"/>
        </w:rPr>
        <w:t xml:space="preserve"> xây dựng </w:t>
      </w:r>
      <w:r w:rsidR="00017D5B" w:rsidRPr="00120DE5">
        <w:rPr>
          <w:rFonts w:eastAsia="Times New Roman" w:cs="Times New Roman"/>
          <w:szCs w:val="28"/>
        </w:rPr>
        <w:t>Chương trình</w:t>
      </w:r>
      <w:r w:rsidR="002C12DD" w:rsidRPr="00120DE5">
        <w:rPr>
          <w:rFonts w:eastAsia="Times New Roman" w:cs="Times New Roman"/>
          <w:szCs w:val="28"/>
        </w:rPr>
        <w:t xml:space="preserve">hành động </w:t>
      </w:r>
      <w:r w:rsidR="00983ADB" w:rsidRPr="00120DE5">
        <w:rPr>
          <w:rFonts w:eastAsia="Times New Roman" w:cs="Times New Roman"/>
          <w:szCs w:val="28"/>
        </w:rPr>
        <w:t>triển khai thực hiện như sau:</w:t>
      </w:r>
    </w:p>
    <w:p w:rsidR="00983ADB" w:rsidRPr="00120DE5" w:rsidRDefault="00983ADB" w:rsidP="00106CB7">
      <w:pPr>
        <w:spacing w:before="120" w:after="120" w:line="240" w:lineRule="auto"/>
        <w:ind w:firstLine="567"/>
        <w:rPr>
          <w:rFonts w:eastAsia="Times New Roman" w:cs="Times New Roman"/>
          <w:sz w:val="27"/>
          <w:szCs w:val="27"/>
        </w:rPr>
      </w:pPr>
      <w:r w:rsidRPr="00120DE5">
        <w:rPr>
          <w:rFonts w:eastAsia="Times New Roman" w:cs="Times New Roman"/>
          <w:b/>
          <w:bCs/>
          <w:sz w:val="27"/>
          <w:szCs w:val="27"/>
        </w:rPr>
        <w:t>I. MỤC TIÊU, YÊU CẦU</w:t>
      </w:r>
    </w:p>
    <w:p w:rsidR="00983ADB" w:rsidRPr="00120DE5" w:rsidRDefault="00983ADB" w:rsidP="00106CB7">
      <w:pPr>
        <w:spacing w:before="120" w:after="120" w:line="240" w:lineRule="auto"/>
        <w:ind w:firstLine="567"/>
        <w:rPr>
          <w:rFonts w:eastAsia="Times New Roman" w:cs="Times New Roman"/>
          <w:b/>
          <w:bCs/>
          <w:szCs w:val="28"/>
        </w:rPr>
      </w:pPr>
      <w:r w:rsidRPr="00120DE5">
        <w:rPr>
          <w:rFonts w:eastAsia="Times New Roman" w:cs="Times New Roman"/>
          <w:b/>
          <w:bCs/>
          <w:szCs w:val="28"/>
        </w:rPr>
        <w:t>1. Mục tiêu</w:t>
      </w:r>
      <w:r w:rsidR="0016249D" w:rsidRPr="00120DE5">
        <w:rPr>
          <w:rFonts w:eastAsia="Times New Roman" w:cs="Times New Roman"/>
          <w:b/>
          <w:bCs/>
          <w:szCs w:val="28"/>
        </w:rPr>
        <w:t>.</w:t>
      </w:r>
    </w:p>
    <w:p w:rsidR="00983ADB" w:rsidRPr="00120DE5" w:rsidRDefault="00983ADB" w:rsidP="00106CB7">
      <w:pPr>
        <w:spacing w:before="120" w:after="120" w:line="240" w:lineRule="auto"/>
        <w:ind w:firstLine="567"/>
        <w:rPr>
          <w:spacing w:val="-2"/>
          <w:szCs w:val="28"/>
        </w:rPr>
      </w:pPr>
      <w:r w:rsidRPr="00120DE5">
        <w:rPr>
          <w:spacing w:val="-2"/>
          <w:szCs w:val="28"/>
        </w:rPr>
        <w:t>Nhằm triển khai thực hiện Quyết đị</w:t>
      </w:r>
      <w:r w:rsidR="001C211C">
        <w:rPr>
          <w:spacing w:val="-2"/>
          <w:szCs w:val="28"/>
        </w:rPr>
        <w:t>nh số 1058</w:t>
      </w:r>
      <w:r w:rsidRPr="00120DE5">
        <w:rPr>
          <w:spacing w:val="-2"/>
          <w:szCs w:val="28"/>
        </w:rPr>
        <w:t xml:space="preserve"> về cơ cấu lại hệ thống các TCTD đảm bảo đạt hiệu quả cao, theo đúng kế hoạch và lộ trình đã được phê duyệt; nâng cao chất lượng hoạt động của các TCTD, tiếp tục phát huy tốt vai trò là kênh dẫn vốn chủ đạo, đáp ứng nhu cầu </w:t>
      </w:r>
      <w:r w:rsidR="001C211C">
        <w:rPr>
          <w:spacing w:val="-2"/>
          <w:szCs w:val="28"/>
        </w:rPr>
        <w:t xml:space="preserve">nguồn </w:t>
      </w:r>
      <w:r w:rsidRPr="00120DE5">
        <w:rPr>
          <w:spacing w:val="-2"/>
          <w:szCs w:val="28"/>
        </w:rPr>
        <w:t>vố</w:t>
      </w:r>
      <w:r w:rsidR="001C211C">
        <w:rPr>
          <w:spacing w:val="-2"/>
          <w:szCs w:val="28"/>
        </w:rPr>
        <w:t xml:space="preserve">n vay </w:t>
      </w:r>
      <w:r w:rsidRPr="00120DE5">
        <w:rPr>
          <w:spacing w:val="-2"/>
          <w:szCs w:val="28"/>
        </w:rPr>
        <w:t>cho hoạt động sản xuất, kinh doanh, thúc đẩy phát triển kinh tế</w:t>
      </w:r>
      <w:r w:rsidR="0076430D">
        <w:rPr>
          <w:spacing w:val="-2"/>
          <w:szCs w:val="28"/>
        </w:rPr>
        <w:t xml:space="preserve"> - xã hội</w:t>
      </w:r>
      <w:r w:rsidRPr="00120DE5">
        <w:rPr>
          <w:spacing w:val="-2"/>
          <w:szCs w:val="28"/>
        </w:rPr>
        <w:t>. Đồng thời triển khai kịp thờ</w:t>
      </w:r>
      <w:r w:rsidR="0076430D">
        <w:rPr>
          <w:spacing w:val="-2"/>
          <w:szCs w:val="28"/>
        </w:rPr>
        <w:t xml:space="preserve">i có </w:t>
      </w:r>
      <w:r w:rsidRPr="00120DE5">
        <w:rPr>
          <w:spacing w:val="-2"/>
          <w:szCs w:val="28"/>
        </w:rPr>
        <w:t>hiệu quả các quy định tại Nghị quyết 42 để xử</w:t>
      </w:r>
      <w:r w:rsidR="0076430D">
        <w:rPr>
          <w:spacing w:val="-2"/>
          <w:szCs w:val="28"/>
        </w:rPr>
        <w:t xml:space="preserve"> lý nhanh và </w:t>
      </w:r>
      <w:r w:rsidRPr="00120DE5">
        <w:rPr>
          <w:spacing w:val="-2"/>
          <w:szCs w:val="28"/>
        </w:rPr>
        <w:t>dứt điểm nợ xấ</w:t>
      </w:r>
      <w:r w:rsidR="0076430D">
        <w:rPr>
          <w:spacing w:val="-2"/>
          <w:szCs w:val="28"/>
        </w:rPr>
        <w:t xml:space="preserve">u, </w:t>
      </w:r>
      <w:r w:rsidRPr="00120DE5">
        <w:rPr>
          <w:spacing w:val="-2"/>
          <w:szCs w:val="28"/>
        </w:rPr>
        <w:t>tài sản bảo đảm của các khoản nợ xấu thuộc phạm vi điều chỉnh của Nghị quyế</w:t>
      </w:r>
      <w:r w:rsidR="001C211C">
        <w:rPr>
          <w:spacing w:val="-2"/>
          <w:szCs w:val="28"/>
        </w:rPr>
        <w:t xml:space="preserve">t này </w:t>
      </w:r>
      <w:r w:rsidR="0076430D">
        <w:rPr>
          <w:spacing w:val="-2"/>
          <w:szCs w:val="28"/>
        </w:rPr>
        <w:t xml:space="preserve">nhằm </w:t>
      </w:r>
      <w:r w:rsidRPr="00120DE5">
        <w:rPr>
          <w:spacing w:val="-2"/>
          <w:szCs w:val="28"/>
        </w:rPr>
        <w:t xml:space="preserve">góp phần phòng </w:t>
      </w:r>
      <w:r w:rsidR="001C211C">
        <w:rPr>
          <w:spacing w:val="-2"/>
          <w:szCs w:val="28"/>
        </w:rPr>
        <w:t xml:space="preserve">ngăn </w:t>
      </w:r>
      <w:r w:rsidRPr="00120DE5">
        <w:rPr>
          <w:spacing w:val="-2"/>
          <w:szCs w:val="28"/>
        </w:rPr>
        <w:t>ngừa, hạn chế tối đa các khoản nợ xấu phát sinh đảm bảo hoạt động ngân hàng an toàn</w:t>
      </w:r>
      <w:r w:rsidR="00E35970" w:rsidRPr="00120DE5">
        <w:rPr>
          <w:spacing w:val="-2"/>
          <w:szCs w:val="28"/>
        </w:rPr>
        <w:t>,</w:t>
      </w:r>
      <w:r w:rsidRPr="00120DE5">
        <w:rPr>
          <w:spacing w:val="-2"/>
          <w:szCs w:val="28"/>
        </w:rPr>
        <w:t xml:space="preserve"> hiệu quả. </w:t>
      </w:r>
    </w:p>
    <w:p w:rsidR="00983ADB" w:rsidRPr="00120DE5" w:rsidRDefault="00983ADB" w:rsidP="00106CB7">
      <w:pPr>
        <w:spacing w:before="120" w:after="120" w:line="240" w:lineRule="auto"/>
        <w:ind w:firstLine="567"/>
        <w:rPr>
          <w:rFonts w:eastAsia="Times New Roman" w:cs="Times New Roman"/>
          <w:b/>
          <w:bCs/>
          <w:szCs w:val="28"/>
        </w:rPr>
      </w:pPr>
      <w:r w:rsidRPr="00120DE5">
        <w:rPr>
          <w:rFonts w:eastAsia="Times New Roman" w:cs="Times New Roman"/>
          <w:b/>
          <w:bCs/>
          <w:szCs w:val="28"/>
        </w:rPr>
        <w:t>2. Yêu cầu</w:t>
      </w:r>
      <w:r w:rsidR="0016249D" w:rsidRPr="00120DE5">
        <w:rPr>
          <w:rFonts w:eastAsia="Times New Roman" w:cs="Times New Roman"/>
          <w:b/>
          <w:bCs/>
          <w:szCs w:val="28"/>
        </w:rPr>
        <w:t>.</w:t>
      </w:r>
    </w:p>
    <w:p w:rsidR="00983ADB" w:rsidRPr="00120DE5" w:rsidRDefault="00983ADB" w:rsidP="00106CB7">
      <w:pPr>
        <w:spacing w:before="120" w:after="120" w:line="240" w:lineRule="auto"/>
        <w:ind w:firstLine="720"/>
        <w:rPr>
          <w:szCs w:val="28"/>
        </w:rPr>
      </w:pPr>
      <w:r w:rsidRPr="00120DE5">
        <w:rPr>
          <w:szCs w:val="28"/>
        </w:rPr>
        <w:t xml:space="preserve">- Bám sát chủ trương của Đảng, Nhà nước về cơ cấu lại hệ thống các tổ chức tín dụng gắn với xử lý nợ xấu theo Quyết định </w:t>
      </w:r>
      <w:r w:rsidR="00FA7964" w:rsidRPr="00120DE5">
        <w:rPr>
          <w:szCs w:val="28"/>
        </w:rPr>
        <w:t xml:space="preserve">số </w:t>
      </w:r>
      <w:r w:rsidRPr="00120DE5">
        <w:rPr>
          <w:szCs w:val="28"/>
        </w:rPr>
        <w:t xml:space="preserve">1058 và các nội dung nêu ra tại Chỉ thị </w:t>
      </w:r>
      <w:r w:rsidR="001C211C">
        <w:rPr>
          <w:szCs w:val="28"/>
        </w:rPr>
        <w:t>số</w:t>
      </w:r>
      <w:r w:rsidRPr="00120DE5">
        <w:rPr>
          <w:szCs w:val="28"/>
        </w:rPr>
        <w:t>32 của Thủ tướng Chính phủ.</w:t>
      </w:r>
    </w:p>
    <w:p w:rsidR="00983ADB" w:rsidRPr="00120DE5" w:rsidRDefault="00983ADB" w:rsidP="00106CB7">
      <w:pPr>
        <w:spacing w:before="120" w:after="120" w:line="240" w:lineRule="auto"/>
        <w:ind w:firstLine="720"/>
        <w:rPr>
          <w:szCs w:val="28"/>
        </w:rPr>
      </w:pPr>
      <w:r w:rsidRPr="00120DE5">
        <w:rPr>
          <w:szCs w:val="28"/>
        </w:rPr>
        <w:t>- Các cơ quan, đơn vị liên quan đến việc xử lý nợ xấuxác định trách nhiệm của mình trong vấn đề xử lý nợ xấu, phối hợp với các Ngân hàng thương mạ</w:t>
      </w:r>
      <w:r w:rsidR="001C211C">
        <w:rPr>
          <w:szCs w:val="28"/>
        </w:rPr>
        <w:t xml:space="preserve">i, </w:t>
      </w:r>
      <w:r w:rsidRPr="00120DE5">
        <w:rPr>
          <w:szCs w:val="28"/>
        </w:rPr>
        <w:t>Ngân hàng Chính sách xã hội, Quỹ tín dụng nhân dân (QTDND) trong việc xử lý nợ xấu của các tổ chức tín dụng trên địa bàn.</w:t>
      </w:r>
    </w:p>
    <w:p w:rsidR="00983ADB" w:rsidRPr="00120DE5" w:rsidRDefault="00983ADB" w:rsidP="00106CB7">
      <w:pPr>
        <w:spacing w:before="120" w:after="120" w:line="240" w:lineRule="auto"/>
        <w:ind w:firstLine="567"/>
        <w:rPr>
          <w:rFonts w:eastAsia="Times New Roman" w:cs="Times New Roman"/>
          <w:sz w:val="27"/>
          <w:szCs w:val="27"/>
        </w:rPr>
      </w:pPr>
      <w:r w:rsidRPr="00120DE5">
        <w:rPr>
          <w:rFonts w:eastAsia="Times New Roman" w:cs="Times New Roman"/>
          <w:b/>
          <w:bCs/>
          <w:sz w:val="27"/>
          <w:szCs w:val="27"/>
        </w:rPr>
        <w:t>II. NỘI DUNG TRIỂN KHAI THỰC HIỆN</w:t>
      </w:r>
    </w:p>
    <w:p w:rsidR="001C211C" w:rsidRDefault="00983ADB" w:rsidP="001C211C">
      <w:pPr>
        <w:spacing w:before="120" w:after="120" w:line="240" w:lineRule="auto"/>
        <w:ind w:firstLine="567"/>
        <w:rPr>
          <w:rFonts w:eastAsia="Times New Roman" w:cs="Times New Roman"/>
          <w:szCs w:val="28"/>
        </w:rPr>
      </w:pPr>
      <w:r w:rsidRPr="00120DE5">
        <w:rPr>
          <w:rFonts w:eastAsia="Times New Roman" w:cs="Times New Roman"/>
          <w:b/>
          <w:bCs/>
          <w:szCs w:val="28"/>
        </w:rPr>
        <w:t>1. Nhiệm vụ chung</w:t>
      </w:r>
      <w:r w:rsidR="0016249D" w:rsidRPr="00120DE5">
        <w:rPr>
          <w:rFonts w:eastAsia="Times New Roman" w:cs="Times New Roman"/>
          <w:b/>
          <w:bCs/>
          <w:szCs w:val="28"/>
        </w:rPr>
        <w:t>.</w:t>
      </w:r>
    </w:p>
    <w:p w:rsidR="00983ADB" w:rsidRPr="00120DE5" w:rsidRDefault="0076430D" w:rsidP="001C211C">
      <w:pPr>
        <w:spacing w:before="120" w:after="120" w:line="240" w:lineRule="auto"/>
        <w:ind w:firstLine="567"/>
        <w:rPr>
          <w:rFonts w:eastAsia="Times New Roman" w:cs="Times New Roman"/>
          <w:szCs w:val="28"/>
        </w:rPr>
      </w:pPr>
      <w:r>
        <w:rPr>
          <w:rFonts w:eastAsia="Times New Roman" w:cs="Times New Roman"/>
          <w:szCs w:val="28"/>
        </w:rPr>
        <w:t xml:space="preserve">1.1. Các </w:t>
      </w:r>
      <w:r w:rsidR="00983ADB" w:rsidRPr="00120DE5">
        <w:rPr>
          <w:rFonts w:eastAsia="Times New Roman" w:cs="Times New Roman"/>
          <w:szCs w:val="28"/>
        </w:rPr>
        <w:t>sở,</w:t>
      </w:r>
      <w:r>
        <w:rPr>
          <w:rFonts w:eastAsia="Times New Roman" w:cs="Times New Roman"/>
          <w:szCs w:val="28"/>
        </w:rPr>
        <w:t xml:space="preserve"> ban,</w:t>
      </w:r>
      <w:r w:rsidR="00983ADB" w:rsidRPr="00120DE5">
        <w:rPr>
          <w:rFonts w:eastAsia="Times New Roman" w:cs="Times New Roman"/>
          <w:szCs w:val="28"/>
        </w:rPr>
        <w:t xml:space="preserve"> ngành liên quan, UBND các huyện, thị xã, thành phố tổ chức tuyên truyền, quán triệt các nội dung Nghị quyết </w:t>
      </w:r>
      <w:r w:rsidR="00077C6A" w:rsidRPr="00120DE5">
        <w:rPr>
          <w:rFonts w:eastAsia="Times New Roman" w:cs="Times New Roman"/>
          <w:szCs w:val="28"/>
        </w:rPr>
        <w:t xml:space="preserve">sô </w:t>
      </w:r>
      <w:r w:rsidR="00983ADB" w:rsidRPr="00120DE5">
        <w:rPr>
          <w:rFonts w:eastAsia="Times New Roman" w:cs="Times New Roman"/>
          <w:szCs w:val="28"/>
        </w:rPr>
        <w:t>42của Quốc hội về thí điểm xử lý nợ xấu của các tổ chức tín dụng, các nhiệm vụ</w:t>
      </w:r>
      <w:r>
        <w:rPr>
          <w:rFonts w:eastAsia="Times New Roman" w:cs="Times New Roman"/>
          <w:szCs w:val="28"/>
        </w:rPr>
        <w:t xml:space="preserve"> và </w:t>
      </w:r>
      <w:r w:rsidR="00983ADB" w:rsidRPr="00120DE5">
        <w:rPr>
          <w:rFonts w:eastAsia="Times New Roman" w:cs="Times New Roman"/>
          <w:szCs w:val="28"/>
        </w:rPr>
        <w:t xml:space="preserve">giải pháp tại Quyết định </w:t>
      </w:r>
      <w:r w:rsidR="00077C6A" w:rsidRPr="00120DE5">
        <w:rPr>
          <w:rFonts w:eastAsia="Times New Roman" w:cs="Times New Roman"/>
          <w:szCs w:val="28"/>
        </w:rPr>
        <w:t xml:space="preserve">số </w:t>
      </w:r>
      <w:r w:rsidR="00983ADB" w:rsidRPr="00120DE5">
        <w:rPr>
          <w:spacing w:val="-2"/>
          <w:szCs w:val="28"/>
        </w:rPr>
        <w:lastRenderedPageBreak/>
        <w:t>1058</w:t>
      </w:r>
      <w:r>
        <w:rPr>
          <w:spacing w:val="-2"/>
          <w:szCs w:val="28"/>
        </w:rPr>
        <w:t xml:space="preserve"> về việc</w:t>
      </w:r>
      <w:r w:rsidR="00983ADB" w:rsidRPr="00120DE5">
        <w:rPr>
          <w:rFonts w:eastAsia="Times New Roman" w:cs="Times New Roman"/>
          <w:szCs w:val="28"/>
        </w:rPr>
        <w:t xml:space="preserve">phê duyệt Đề án “Cơ cấu lại hệ thống các tổ chức tín dụng gắn với xử lý nợ xấu giai đoạn 2016-2020” và Chỉ thị </w:t>
      </w:r>
      <w:r w:rsidR="00077C6A" w:rsidRPr="00120DE5">
        <w:rPr>
          <w:rFonts w:eastAsia="Times New Roman" w:cs="Times New Roman"/>
          <w:szCs w:val="28"/>
        </w:rPr>
        <w:t xml:space="preserve">số </w:t>
      </w:r>
      <w:r w:rsidR="00983ADB" w:rsidRPr="00120DE5">
        <w:rPr>
          <w:rFonts w:eastAsia="Times New Roman" w:cs="Times New Roman"/>
          <w:szCs w:val="28"/>
        </w:rPr>
        <w:t xml:space="preserve">32 triển khai thực hiện Nghị quyết số 42 của Quốc hội về thí điểm xử lý nợ xấu của các </w:t>
      </w:r>
      <w:r w:rsidR="00077C6A" w:rsidRPr="00120DE5">
        <w:rPr>
          <w:rFonts w:eastAsia="Times New Roman" w:cs="Times New Roman"/>
          <w:szCs w:val="28"/>
        </w:rPr>
        <w:t>tổ chức tín dụng</w:t>
      </w:r>
      <w:r w:rsidR="00983ADB" w:rsidRPr="00120DE5">
        <w:rPr>
          <w:rFonts w:eastAsia="Times New Roman" w:cs="Times New Roman"/>
          <w:szCs w:val="28"/>
        </w:rPr>
        <w:t xml:space="preserve"> đến toàn thể cán bộ, công chức</w:t>
      </w:r>
      <w:r w:rsidR="007667B4" w:rsidRPr="00120DE5">
        <w:rPr>
          <w:rFonts w:eastAsia="Times New Roman" w:cs="Times New Roman"/>
          <w:szCs w:val="28"/>
        </w:rPr>
        <w:t>, viên chức</w:t>
      </w:r>
      <w:r w:rsidR="00983ADB" w:rsidRPr="00120DE5">
        <w:rPr>
          <w:rFonts w:eastAsia="Times New Roman" w:cs="Times New Roman"/>
          <w:szCs w:val="28"/>
        </w:rPr>
        <w:t xml:space="preserve"> thực hiện các công việc liên quan tại đơn vị.</w:t>
      </w:r>
    </w:p>
    <w:p w:rsidR="00983ADB" w:rsidRPr="00120DE5" w:rsidRDefault="0076430D" w:rsidP="00106CB7">
      <w:pPr>
        <w:spacing w:before="120" w:after="120" w:line="240" w:lineRule="auto"/>
        <w:ind w:firstLine="720"/>
        <w:rPr>
          <w:rFonts w:eastAsia="Times New Roman" w:cs="Times New Roman"/>
          <w:spacing w:val="-4"/>
          <w:szCs w:val="28"/>
        </w:rPr>
      </w:pPr>
      <w:r>
        <w:rPr>
          <w:rFonts w:eastAsia="Times New Roman" w:cs="Times New Roman"/>
          <w:spacing w:val="-4"/>
          <w:szCs w:val="28"/>
        </w:rPr>
        <w:t xml:space="preserve">1.2. </w:t>
      </w:r>
      <w:r>
        <w:rPr>
          <w:rFonts w:eastAsia="Times New Roman" w:cs="Times New Roman"/>
          <w:szCs w:val="28"/>
        </w:rPr>
        <w:t xml:space="preserve">Các </w:t>
      </w:r>
      <w:r w:rsidRPr="00120DE5">
        <w:rPr>
          <w:rFonts w:eastAsia="Times New Roman" w:cs="Times New Roman"/>
          <w:szCs w:val="28"/>
        </w:rPr>
        <w:t>sở,</w:t>
      </w:r>
      <w:r>
        <w:rPr>
          <w:rFonts w:eastAsia="Times New Roman" w:cs="Times New Roman"/>
          <w:szCs w:val="28"/>
        </w:rPr>
        <w:t xml:space="preserve"> ban,</w:t>
      </w:r>
      <w:r w:rsidRPr="00120DE5">
        <w:rPr>
          <w:rFonts w:eastAsia="Times New Roman" w:cs="Times New Roman"/>
          <w:szCs w:val="28"/>
        </w:rPr>
        <w:t xml:space="preserve"> ngành liên quan, UBND các huyện, thị xã, thành phố</w:t>
      </w:r>
      <w:r w:rsidR="00983ADB" w:rsidRPr="00120DE5">
        <w:rPr>
          <w:rFonts w:eastAsia="Times New Roman" w:cs="Times New Roman"/>
          <w:spacing w:val="-4"/>
          <w:szCs w:val="28"/>
        </w:rPr>
        <w:t xml:space="preserve">chủ động triển khai kịp thời, hiệu quả các văn bản hướng dẫn của </w:t>
      </w:r>
      <w:r w:rsidR="00BC1843" w:rsidRPr="00120DE5">
        <w:rPr>
          <w:rFonts w:eastAsia="Times New Roman" w:cs="Times New Roman"/>
          <w:spacing w:val="-4"/>
          <w:szCs w:val="28"/>
        </w:rPr>
        <w:t>b</w:t>
      </w:r>
      <w:r w:rsidR="00983ADB" w:rsidRPr="00120DE5">
        <w:rPr>
          <w:rFonts w:eastAsia="Times New Roman" w:cs="Times New Roman"/>
          <w:spacing w:val="-4"/>
          <w:szCs w:val="28"/>
        </w:rPr>
        <w:t xml:space="preserve">ộ, ngành Trung ương theo tinh thần chỉ đạo của Thủ tướng Chính phủ tại Quyết định số </w:t>
      </w:r>
      <w:r w:rsidR="00983ADB" w:rsidRPr="00120DE5">
        <w:rPr>
          <w:spacing w:val="-4"/>
          <w:szCs w:val="28"/>
        </w:rPr>
        <w:t xml:space="preserve">1058 </w:t>
      </w:r>
      <w:r w:rsidR="00983ADB" w:rsidRPr="00120DE5">
        <w:rPr>
          <w:rFonts w:eastAsia="Times New Roman" w:cs="Times New Roman"/>
          <w:spacing w:val="-4"/>
          <w:szCs w:val="28"/>
        </w:rPr>
        <w:t>và Chỉ th</w:t>
      </w:r>
      <w:r>
        <w:rPr>
          <w:rFonts w:eastAsia="Times New Roman" w:cs="Times New Roman"/>
          <w:spacing w:val="-4"/>
          <w:szCs w:val="28"/>
        </w:rPr>
        <w:t>ị số 32; thực hiện rà soát các V</w:t>
      </w:r>
      <w:r w:rsidR="00983ADB" w:rsidRPr="00120DE5">
        <w:rPr>
          <w:rFonts w:eastAsia="Times New Roman" w:cs="Times New Roman"/>
          <w:spacing w:val="-4"/>
          <w:szCs w:val="28"/>
        </w:rPr>
        <w:t>ăn bản do đơn vị mình ban hành hoặc đã tham mưu cho UBND tỉnh ban hành trước đây để hủy bỏ hoặc sửa đổi bổ</w:t>
      </w:r>
      <w:r>
        <w:rPr>
          <w:rFonts w:eastAsia="Times New Roman" w:cs="Times New Roman"/>
          <w:spacing w:val="-4"/>
          <w:szCs w:val="28"/>
        </w:rPr>
        <w:t xml:space="preserve"> sung nội dung cho phù hợp các V</w:t>
      </w:r>
      <w:r w:rsidR="00983ADB" w:rsidRPr="00120DE5">
        <w:rPr>
          <w:rFonts w:eastAsia="Times New Roman" w:cs="Times New Roman"/>
          <w:spacing w:val="-4"/>
          <w:szCs w:val="28"/>
        </w:rPr>
        <w:t>ăn bản hướng dẫn của</w:t>
      </w:r>
      <w:r>
        <w:rPr>
          <w:rFonts w:eastAsia="Times New Roman" w:cs="Times New Roman"/>
          <w:spacing w:val="-4"/>
          <w:szCs w:val="28"/>
        </w:rPr>
        <w:t xml:space="preserve"> các</w:t>
      </w:r>
      <w:r w:rsidR="00BC1843" w:rsidRPr="00120DE5">
        <w:rPr>
          <w:rFonts w:eastAsia="Times New Roman" w:cs="Times New Roman"/>
          <w:spacing w:val="-4"/>
          <w:szCs w:val="28"/>
        </w:rPr>
        <w:t>b</w:t>
      </w:r>
      <w:r w:rsidR="00983ADB" w:rsidRPr="00120DE5">
        <w:rPr>
          <w:rFonts w:eastAsia="Times New Roman" w:cs="Times New Roman"/>
          <w:spacing w:val="-4"/>
          <w:szCs w:val="28"/>
        </w:rPr>
        <w:t>ộ, ngành Trung ương; kịp thời nắm bắt các khó khăn, vướng mắc để xử lý hoặc tham mưu, kiến nghị cơ quan có thẩm quyền xử lý.</w:t>
      </w:r>
    </w:p>
    <w:p w:rsidR="00983ADB" w:rsidRPr="00120DE5" w:rsidRDefault="00983ADB" w:rsidP="00106CB7">
      <w:pPr>
        <w:spacing w:before="120" w:after="120" w:line="240" w:lineRule="auto"/>
        <w:ind w:firstLine="720"/>
        <w:rPr>
          <w:rFonts w:eastAsia="Times New Roman" w:cs="Times New Roman"/>
          <w:szCs w:val="28"/>
        </w:rPr>
      </w:pPr>
      <w:r w:rsidRPr="00120DE5">
        <w:rPr>
          <w:rFonts w:eastAsia="Times New Roman" w:cs="Times New Roman"/>
          <w:szCs w:val="28"/>
        </w:rPr>
        <w:t xml:space="preserve">1.3. Hỗ trợ, tạo điều kiện cho các </w:t>
      </w:r>
      <w:r w:rsidR="00077C6A" w:rsidRPr="00120DE5">
        <w:rPr>
          <w:rFonts w:eastAsia="Times New Roman" w:cs="Times New Roman"/>
          <w:szCs w:val="28"/>
        </w:rPr>
        <w:t>tổ chức tín dụng</w:t>
      </w:r>
      <w:r w:rsidRPr="00120DE5">
        <w:rPr>
          <w:rFonts w:eastAsia="Times New Roman" w:cs="Times New Roman"/>
          <w:szCs w:val="28"/>
        </w:rPr>
        <w:t xml:space="preserve">, chi nhánh </w:t>
      </w:r>
      <w:r w:rsidR="00077C6A" w:rsidRPr="00120DE5">
        <w:rPr>
          <w:rFonts w:eastAsia="Times New Roman" w:cs="Times New Roman"/>
          <w:szCs w:val="28"/>
        </w:rPr>
        <w:t>tổ chức tín dụng</w:t>
      </w:r>
      <w:r w:rsidRPr="00120DE5">
        <w:rPr>
          <w:rFonts w:eastAsia="Times New Roman" w:cs="Times New Roman"/>
          <w:szCs w:val="28"/>
        </w:rPr>
        <w:t xml:space="preserve"> trong việc tiếp cận, nắm bắt các thông tin liên quan đến doanh nghiệp, hợp tác xã, các chương trình, đề án, quy hoạch phát triển kinh tế xã hội địa phương... để </w:t>
      </w:r>
      <w:r w:rsidR="00077C6A" w:rsidRPr="00120DE5">
        <w:rPr>
          <w:rFonts w:eastAsia="Times New Roman" w:cs="Times New Roman"/>
          <w:szCs w:val="28"/>
        </w:rPr>
        <w:t>tổ chức tín dụng</w:t>
      </w:r>
      <w:r w:rsidRPr="00120DE5">
        <w:rPr>
          <w:rFonts w:eastAsia="Times New Roman" w:cs="Times New Roman"/>
          <w:szCs w:val="28"/>
        </w:rPr>
        <w:t xml:space="preserve"> xem xét quyết định cho vay, đảm bảo việc mở rộng tín dụng có hiệu quả, hạn chế tối đa nợ xấu phát sinh.</w:t>
      </w:r>
    </w:p>
    <w:p w:rsidR="00983ADB" w:rsidRPr="00120DE5" w:rsidRDefault="00983ADB" w:rsidP="00106CB7">
      <w:pPr>
        <w:spacing w:before="120" w:after="120" w:line="240" w:lineRule="auto"/>
        <w:ind w:firstLine="567"/>
        <w:rPr>
          <w:rFonts w:eastAsia="Times New Roman" w:cs="Times New Roman"/>
          <w:szCs w:val="28"/>
        </w:rPr>
      </w:pPr>
      <w:r w:rsidRPr="00120DE5">
        <w:rPr>
          <w:rFonts w:eastAsia="Times New Roman" w:cs="Times New Roman"/>
          <w:b/>
          <w:bCs/>
          <w:szCs w:val="28"/>
        </w:rPr>
        <w:t>2. Nhiệm vụ cụ thể</w:t>
      </w:r>
      <w:r w:rsidR="003374D0" w:rsidRPr="00120DE5">
        <w:rPr>
          <w:rFonts w:eastAsia="Times New Roman" w:cs="Times New Roman"/>
          <w:b/>
          <w:bCs/>
          <w:szCs w:val="28"/>
        </w:rPr>
        <w:t>.</w:t>
      </w:r>
    </w:p>
    <w:p w:rsidR="00983ADB" w:rsidRPr="001C211C" w:rsidRDefault="00983ADB" w:rsidP="00106CB7">
      <w:pPr>
        <w:spacing w:before="120" w:after="120" w:line="240" w:lineRule="auto"/>
        <w:ind w:firstLine="567"/>
        <w:rPr>
          <w:rFonts w:eastAsia="Times New Roman" w:cs="Times New Roman"/>
          <w:b/>
          <w:szCs w:val="28"/>
        </w:rPr>
      </w:pPr>
      <w:r w:rsidRPr="001C211C">
        <w:rPr>
          <w:rFonts w:eastAsia="Times New Roman" w:cs="Times New Roman"/>
          <w:b/>
          <w:szCs w:val="28"/>
        </w:rPr>
        <w:t xml:space="preserve">2.1. Ngân hàng Nhà nước chi nhánh tỉnh Quảng </w:t>
      </w:r>
      <w:r w:rsidR="001C211C" w:rsidRPr="001C211C">
        <w:rPr>
          <w:rFonts w:eastAsia="Times New Roman" w:cs="Times New Roman"/>
          <w:b/>
          <w:szCs w:val="28"/>
        </w:rPr>
        <w:t>Bình:</w:t>
      </w:r>
    </w:p>
    <w:p w:rsidR="00983ADB" w:rsidRPr="00120DE5" w:rsidRDefault="00983ADB" w:rsidP="00106CB7">
      <w:pPr>
        <w:spacing w:before="120" w:after="120" w:line="240" w:lineRule="auto"/>
        <w:ind w:firstLine="567"/>
        <w:rPr>
          <w:spacing w:val="-2"/>
          <w:szCs w:val="28"/>
        </w:rPr>
      </w:pPr>
      <w:r w:rsidRPr="00120DE5">
        <w:rPr>
          <w:spacing w:val="-2"/>
          <w:szCs w:val="28"/>
        </w:rPr>
        <w:t xml:space="preserve">- Quán triệt, chỉ đạo các </w:t>
      </w:r>
      <w:r w:rsidR="00077C6A" w:rsidRPr="00120DE5">
        <w:rPr>
          <w:rFonts w:eastAsia="Times New Roman" w:cs="Times New Roman"/>
          <w:szCs w:val="28"/>
        </w:rPr>
        <w:t>tổ chức tín dụng</w:t>
      </w:r>
      <w:r w:rsidRPr="00120DE5">
        <w:rPr>
          <w:spacing w:val="-2"/>
          <w:szCs w:val="28"/>
        </w:rPr>
        <w:t xml:space="preserve"> trên địa bàn nghiêm chỉnh chấp hành các quy định của pháp luật và chỉ đạo của Thủ tướng Chính phủ, của NHNN Việt Nam, của Ủy ban nhân dân tỉnh về xử lý nợ xấu và cơ cấu lại các </w:t>
      </w:r>
      <w:r w:rsidR="00077C6A" w:rsidRPr="00120DE5">
        <w:rPr>
          <w:rFonts w:eastAsia="Times New Roman" w:cs="Times New Roman"/>
          <w:szCs w:val="28"/>
        </w:rPr>
        <w:t>tổ chức tín dụng</w:t>
      </w:r>
      <w:r w:rsidRPr="00120DE5">
        <w:rPr>
          <w:spacing w:val="-2"/>
          <w:szCs w:val="28"/>
        </w:rPr>
        <w:t xml:space="preserve">. </w:t>
      </w:r>
    </w:p>
    <w:p w:rsidR="00983ADB" w:rsidRPr="00120DE5" w:rsidRDefault="00983ADB" w:rsidP="00106CB7">
      <w:pPr>
        <w:spacing w:before="120" w:after="120" w:line="240" w:lineRule="auto"/>
        <w:ind w:firstLine="567"/>
        <w:rPr>
          <w:spacing w:val="-2"/>
          <w:szCs w:val="28"/>
        </w:rPr>
      </w:pPr>
      <w:r w:rsidRPr="00120DE5">
        <w:rPr>
          <w:spacing w:val="-2"/>
          <w:szCs w:val="28"/>
        </w:rPr>
        <w:t xml:space="preserve">- Tập trung rà soát, đánh giá toàn bộ các khoản nợ xấu quy định tại Nghị quyết số 42; tổng hợp chi tiết khó khăn vướng mắc trong quá trình xử lý nợ xấu để phối hợp với các cơ quan, đơn vị có liên quan hỗ trợ triển khai thực hiện. </w:t>
      </w:r>
    </w:p>
    <w:p w:rsidR="00983ADB" w:rsidRPr="00120DE5" w:rsidRDefault="00983ADB" w:rsidP="00106CB7">
      <w:pPr>
        <w:spacing w:before="120" w:after="120" w:line="240" w:lineRule="auto"/>
        <w:ind w:firstLine="567"/>
        <w:rPr>
          <w:szCs w:val="28"/>
        </w:rPr>
      </w:pPr>
      <w:r w:rsidRPr="00120DE5">
        <w:rPr>
          <w:szCs w:val="28"/>
        </w:rPr>
        <w:t>- Tăng cường công tác quản lý nhà nước đối với hoạt động tiền tệ, ngân hàng đảm bảo an toàn hệ thống, duy trì môi trường kinh doanh ổn đị</w:t>
      </w:r>
      <w:r w:rsidR="003374D0" w:rsidRPr="00120DE5">
        <w:rPr>
          <w:szCs w:val="28"/>
        </w:rPr>
        <w:t xml:space="preserve">nh, an toàn cho các </w:t>
      </w:r>
      <w:r w:rsidR="00077C6A" w:rsidRPr="00120DE5">
        <w:rPr>
          <w:rFonts w:eastAsia="Times New Roman" w:cs="Times New Roman"/>
          <w:szCs w:val="28"/>
        </w:rPr>
        <w:t>tổ chức tín dụng</w:t>
      </w:r>
      <w:r w:rsidR="003374D0" w:rsidRPr="00120DE5">
        <w:rPr>
          <w:szCs w:val="28"/>
        </w:rPr>
        <w:t xml:space="preserve">; </w:t>
      </w:r>
      <w:r w:rsidRPr="00120DE5">
        <w:rPr>
          <w:szCs w:val="28"/>
        </w:rPr>
        <w:t xml:space="preserve">thường xuyên theo dõi, nắm bắt tiến độ và đánh giá kết quả thực hiện của các </w:t>
      </w:r>
      <w:r w:rsidR="00077C6A" w:rsidRPr="00120DE5">
        <w:rPr>
          <w:rFonts w:eastAsia="Times New Roman" w:cs="Times New Roman"/>
          <w:szCs w:val="28"/>
        </w:rPr>
        <w:t>tổ chức tín dụng</w:t>
      </w:r>
      <w:r w:rsidRPr="00120DE5">
        <w:rPr>
          <w:szCs w:val="28"/>
        </w:rPr>
        <w:t>, chủ động xử lý theo thẩm quyền hoặc đề xuất cấp có thẩm quyền xử lý kịp thời các vấn đề phát sinh nhằm đảm bảo triển khai Nghị quyết số 42, Quyết định số 1058 và các nội dung chỉ đạo của Thủ tướng Chính phủ đạt hiệu quả.</w:t>
      </w:r>
    </w:p>
    <w:p w:rsidR="00983ADB" w:rsidRPr="001C211C" w:rsidRDefault="00983ADB" w:rsidP="00106CB7">
      <w:pPr>
        <w:spacing w:before="120" w:after="120" w:line="240" w:lineRule="auto"/>
        <w:ind w:firstLine="567"/>
        <w:rPr>
          <w:spacing w:val="-2"/>
          <w:szCs w:val="28"/>
        </w:rPr>
      </w:pPr>
      <w:r w:rsidRPr="00120DE5">
        <w:rPr>
          <w:szCs w:val="28"/>
        </w:rPr>
        <w:t xml:space="preserve">- </w:t>
      </w:r>
      <w:r w:rsidRPr="001C211C">
        <w:rPr>
          <w:spacing w:val="-2"/>
          <w:szCs w:val="28"/>
        </w:rPr>
        <w:t xml:space="preserve">Thành lập Ban Chỉ đạo cơ cấu lại các Quỹ tín dụng nhân dân và chỉ đạo xử lý nợ xấu của các tổ chức tín dụng trên địa bàn; Phê duyệt, theo dõi, giám sát việc thực hiện Phương án cơ cấu lại gắn với xử lý nợ xấu của các </w:t>
      </w:r>
      <w:r w:rsidR="003374D0" w:rsidRPr="001C211C">
        <w:rPr>
          <w:spacing w:val="-2"/>
          <w:szCs w:val="28"/>
        </w:rPr>
        <w:t>Quỹ tín dụng nhân dân</w:t>
      </w:r>
      <w:r w:rsidRPr="001C211C">
        <w:rPr>
          <w:spacing w:val="-2"/>
          <w:szCs w:val="28"/>
        </w:rPr>
        <w:t xml:space="preserve">. </w:t>
      </w:r>
    </w:p>
    <w:p w:rsidR="00983ADB" w:rsidRPr="00120DE5" w:rsidRDefault="00983ADB" w:rsidP="00106CB7">
      <w:pPr>
        <w:spacing w:before="120" w:after="120" w:line="240" w:lineRule="auto"/>
        <w:ind w:firstLine="567"/>
        <w:rPr>
          <w:szCs w:val="28"/>
        </w:rPr>
      </w:pPr>
      <w:r w:rsidRPr="00120DE5">
        <w:rPr>
          <w:szCs w:val="28"/>
        </w:rPr>
        <w:t>- Tăng cường công tác thanh tra, giám sát đối với các tổ chức tín dụng trên địa bàn trong việc chấp hành các quy định của Ngân hàng Nhà nước, đặc biệt là việc thực hiện Nghị quyết số 42 và Quyết định số 1058.</w:t>
      </w:r>
    </w:p>
    <w:p w:rsidR="00983ADB" w:rsidRPr="001C211C" w:rsidRDefault="00983ADB" w:rsidP="00106CB7">
      <w:pPr>
        <w:spacing w:before="120" w:after="120" w:line="240" w:lineRule="auto"/>
        <w:ind w:firstLine="567"/>
        <w:rPr>
          <w:spacing w:val="-4"/>
          <w:szCs w:val="28"/>
        </w:rPr>
      </w:pPr>
      <w:r w:rsidRPr="001C211C">
        <w:rPr>
          <w:spacing w:val="-4"/>
          <w:szCs w:val="28"/>
        </w:rPr>
        <w:t xml:space="preserve">- Phối hợp với các </w:t>
      </w:r>
      <w:r w:rsidR="003374D0" w:rsidRPr="001C211C">
        <w:rPr>
          <w:spacing w:val="-4"/>
          <w:szCs w:val="28"/>
        </w:rPr>
        <w:t>s</w:t>
      </w:r>
      <w:r w:rsidRPr="001C211C">
        <w:rPr>
          <w:spacing w:val="-4"/>
          <w:szCs w:val="28"/>
        </w:rPr>
        <w:t>ở,</w:t>
      </w:r>
      <w:r w:rsidR="0076430D">
        <w:rPr>
          <w:spacing w:val="-4"/>
          <w:szCs w:val="28"/>
        </w:rPr>
        <w:t xml:space="preserve"> ban,</w:t>
      </w:r>
      <w:r w:rsidRPr="001C211C">
        <w:rPr>
          <w:spacing w:val="-4"/>
          <w:szCs w:val="28"/>
        </w:rPr>
        <w:t xml:space="preserve"> ngành liên quan, UBND các huyện, thành phố, thị xã theo dõi, nắm bắt khó khăn, vướng mắc phát sinh trong quá trình xử lý nợ xấu, tái cơ cấu các </w:t>
      </w:r>
      <w:r w:rsidR="00077C6A" w:rsidRPr="001C211C">
        <w:rPr>
          <w:rFonts w:eastAsia="Times New Roman" w:cs="Times New Roman"/>
          <w:spacing w:val="-4"/>
          <w:szCs w:val="28"/>
        </w:rPr>
        <w:t>tổ chức tín dụng</w:t>
      </w:r>
      <w:r w:rsidRPr="001C211C">
        <w:rPr>
          <w:spacing w:val="-4"/>
          <w:szCs w:val="28"/>
        </w:rPr>
        <w:t xml:space="preserve"> để kịp thời báo cáo, phản ánh về NHNN Việt Nam và UBND </w:t>
      </w:r>
      <w:r w:rsidRPr="001C211C">
        <w:rPr>
          <w:spacing w:val="-4"/>
          <w:szCs w:val="28"/>
        </w:rPr>
        <w:lastRenderedPageBreak/>
        <w:t xml:space="preserve">tỉnh để được xem xét xử lý kịp thời; phối hợp với các cơ quan Công an, Tòa án nhân dân, Viện Kiểm sát nhân dân, Cơ quan Thi hành án dân sự các cấp để xử lý dứt điểm các vụ án có liên quan đến hoạt động ngân hàng và thi hành các vụ án dân sự có hiệu lực để tạo điều kiện xử lý nhanh nợ xấu của các </w:t>
      </w:r>
      <w:r w:rsidR="00077C6A" w:rsidRPr="001C211C">
        <w:rPr>
          <w:rFonts w:eastAsia="Times New Roman" w:cs="Times New Roman"/>
          <w:spacing w:val="-4"/>
          <w:szCs w:val="28"/>
        </w:rPr>
        <w:t>tổ chức tín dụng</w:t>
      </w:r>
      <w:r w:rsidRPr="001C211C">
        <w:rPr>
          <w:spacing w:val="-4"/>
          <w:szCs w:val="28"/>
        </w:rPr>
        <w:t xml:space="preserve"> trên địa bàn. </w:t>
      </w:r>
    </w:p>
    <w:p w:rsidR="00983ADB" w:rsidRPr="001C211C" w:rsidRDefault="00983ADB" w:rsidP="00106CB7">
      <w:pPr>
        <w:spacing w:before="120" w:after="120" w:line="240" w:lineRule="auto"/>
        <w:ind w:firstLine="567"/>
        <w:rPr>
          <w:rFonts w:eastAsia="Times New Roman" w:cs="Times New Roman"/>
          <w:b/>
          <w:szCs w:val="28"/>
        </w:rPr>
      </w:pPr>
      <w:r w:rsidRPr="001C211C">
        <w:rPr>
          <w:rFonts w:eastAsia="Times New Roman" w:cs="Times New Roman"/>
          <w:b/>
          <w:szCs w:val="28"/>
        </w:rPr>
        <w:t>2.2. Sở Kế hoạch và Đầu tư</w:t>
      </w:r>
      <w:r w:rsidR="001C211C" w:rsidRPr="001C211C">
        <w:rPr>
          <w:rFonts w:eastAsia="Times New Roman" w:cs="Times New Roman"/>
          <w:b/>
          <w:szCs w:val="28"/>
        </w:rPr>
        <w:t>:</w:t>
      </w:r>
    </w:p>
    <w:p w:rsidR="00983ADB" w:rsidRPr="00120DE5" w:rsidRDefault="00983ADB" w:rsidP="00106CB7">
      <w:pPr>
        <w:spacing w:before="120" w:after="120" w:line="240" w:lineRule="auto"/>
        <w:ind w:firstLine="567"/>
        <w:rPr>
          <w:rFonts w:eastAsia="Times New Roman" w:cs="Times New Roman"/>
          <w:spacing w:val="-4"/>
          <w:szCs w:val="28"/>
        </w:rPr>
      </w:pPr>
      <w:r w:rsidRPr="00120DE5">
        <w:rPr>
          <w:rFonts w:eastAsia="Times New Roman" w:cs="Times New Roman"/>
          <w:spacing w:val="-4"/>
          <w:szCs w:val="28"/>
        </w:rPr>
        <w:t xml:space="preserve">- Phối hợp các </w:t>
      </w:r>
      <w:r w:rsidR="003374D0" w:rsidRPr="00120DE5">
        <w:rPr>
          <w:rFonts w:eastAsia="Times New Roman" w:cs="Times New Roman"/>
          <w:spacing w:val="-4"/>
          <w:szCs w:val="28"/>
        </w:rPr>
        <w:t>s</w:t>
      </w:r>
      <w:r w:rsidRPr="00120DE5">
        <w:rPr>
          <w:rFonts w:eastAsia="Times New Roman" w:cs="Times New Roman"/>
          <w:spacing w:val="-4"/>
          <w:szCs w:val="28"/>
        </w:rPr>
        <w:t>ở,</w:t>
      </w:r>
      <w:r w:rsidR="0076430D">
        <w:rPr>
          <w:rFonts w:eastAsia="Times New Roman" w:cs="Times New Roman"/>
          <w:spacing w:val="-4"/>
          <w:szCs w:val="28"/>
        </w:rPr>
        <w:t xml:space="preserve"> ban,</w:t>
      </w:r>
      <w:r w:rsidRPr="00120DE5">
        <w:rPr>
          <w:rFonts w:eastAsia="Times New Roman" w:cs="Times New Roman"/>
          <w:spacing w:val="-4"/>
          <w:szCs w:val="28"/>
        </w:rPr>
        <w:t xml:space="preserve"> ngành, UBND các huyện, thị xã, thành phố hướng dẫn, đôn đốc các chủ đầu tư hoàn thành các thủ tục đầu tư, sớm triển khai kế hoạch, nghiệm thu khối lượng hoàn thành để có đủ điều kiện thanh toán theo quy định; kiểm tra tình hình thực hiện kế hoạch của các chủ đầu tư, khắc phục tình trạng chậm trễ trong việc hoàn thiện các thủ tục đầu tư, đấu thầu, nghiệm thu, thanh toán vốn; tổ chức kiểm tra, đánh giá tiến độ thi công, giải ngân của các dự án, nhất là đối với vốn đầu tư từ ngân sách nhà nước, vốn trái phiếu Chính phủ, vốn chương trình mục tiêu quốc gia. Rà soát, khắc phục và không để phát sinh nợ đọng trong đầu tư xây dựng cơ bản.</w:t>
      </w:r>
    </w:p>
    <w:p w:rsidR="00983ADB" w:rsidRPr="00120DE5" w:rsidRDefault="00983ADB" w:rsidP="00106CB7">
      <w:pPr>
        <w:spacing w:before="120" w:after="120" w:line="240" w:lineRule="auto"/>
        <w:ind w:firstLine="567"/>
        <w:rPr>
          <w:rFonts w:eastAsia="Times New Roman" w:cs="Times New Roman"/>
          <w:szCs w:val="28"/>
        </w:rPr>
      </w:pPr>
      <w:r w:rsidRPr="00120DE5">
        <w:rPr>
          <w:rFonts w:eastAsia="Times New Roman" w:cs="Times New Roman"/>
          <w:szCs w:val="28"/>
        </w:rPr>
        <w:t>- Phối hợp với Sở Tài chính</w:t>
      </w:r>
      <w:r w:rsidR="00B814DE">
        <w:rPr>
          <w:rFonts w:eastAsia="Times New Roman" w:cs="Times New Roman"/>
          <w:szCs w:val="28"/>
        </w:rPr>
        <w:t xml:space="preserve"> và ngành ngân hàng trong việc </w:t>
      </w:r>
      <w:r w:rsidRPr="00120DE5">
        <w:rPr>
          <w:rFonts w:eastAsia="Times New Roman" w:cs="Times New Roman"/>
          <w:szCs w:val="28"/>
        </w:rPr>
        <w:t xml:space="preserve">nghiên cứu, xây dựng lộ trình và bố trí nguồn xử lý các khoản nợ xấu liên quan đến nợ tồn đọng xây dựng cơ bản có nguồn gốc từ ngân sách nhà nước địa phương, nợ xấu từ hoạt động cho vay theo các chương trình dự án, chỉ định </w:t>
      </w:r>
      <w:r w:rsidR="001C211C">
        <w:rPr>
          <w:rFonts w:eastAsia="Times New Roman" w:cs="Times New Roman"/>
          <w:szCs w:val="28"/>
        </w:rPr>
        <w:t xml:space="preserve">của Chính phủ, </w:t>
      </w:r>
      <w:r w:rsidRPr="00120DE5">
        <w:rPr>
          <w:rFonts w:eastAsia="Times New Roman" w:cs="Times New Roman"/>
          <w:szCs w:val="28"/>
        </w:rPr>
        <w:t>Thủ tướng Chính phủ, khoản nợ được Chính phủ bảo lãnh và các khoản nợ xấu của các doanh nghiệp nhà nước.</w:t>
      </w:r>
    </w:p>
    <w:p w:rsidR="00983ADB" w:rsidRPr="001C211C" w:rsidRDefault="00983ADB" w:rsidP="00106CB7">
      <w:pPr>
        <w:spacing w:before="120" w:after="120" w:line="240" w:lineRule="auto"/>
        <w:ind w:firstLine="567"/>
        <w:rPr>
          <w:rFonts w:eastAsia="Times New Roman" w:cs="Times New Roman"/>
          <w:b/>
          <w:szCs w:val="28"/>
        </w:rPr>
      </w:pPr>
      <w:r w:rsidRPr="001C211C">
        <w:rPr>
          <w:rFonts w:eastAsia="Times New Roman" w:cs="Times New Roman"/>
          <w:b/>
          <w:szCs w:val="28"/>
        </w:rPr>
        <w:t>2.3. Sở Tài chính</w:t>
      </w:r>
      <w:r w:rsidR="001C211C">
        <w:rPr>
          <w:rFonts w:eastAsia="Times New Roman" w:cs="Times New Roman"/>
          <w:b/>
          <w:szCs w:val="28"/>
        </w:rPr>
        <w:t>:</w:t>
      </w:r>
    </w:p>
    <w:p w:rsidR="00983ADB" w:rsidRPr="00120DE5" w:rsidRDefault="00B814DE" w:rsidP="00106CB7">
      <w:pPr>
        <w:spacing w:before="120" w:after="120" w:line="240" w:lineRule="auto"/>
        <w:ind w:firstLine="567"/>
        <w:rPr>
          <w:szCs w:val="28"/>
        </w:rPr>
      </w:pPr>
      <w:r>
        <w:rPr>
          <w:spacing w:val="-2"/>
          <w:szCs w:val="28"/>
        </w:rPr>
        <w:t>P</w:t>
      </w:r>
      <w:r w:rsidR="00983ADB" w:rsidRPr="00120DE5">
        <w:rPr>
          <w:spacing w:val="-2"/>
          <w:szCs w:val="28"/>
        </w:rPr>
        <w:t>hối hợp với</w:t>
      </w:r>
      <w:r>
        <w:rPr>
          <w:spacing w:val="-2"/>
          <w:szCs w:val="28"/>
        </w:rPr>
        <w:t xml:space="preserve"> ngành ngân hàng, </w:t>
      </w:r>
      <w:r w:rsidR="00983ADB" w:rsidRPr="00120DE5">
        <w:rPr>
          <w:spacing w:val="-2"/>
          <w:szCs w:val="28"/>
        </w:rPr>
        <w:t xml:space="preserve">Sở Kế hoạch và Đầu tư và các </w:t>
      </w:r>
      <w:r w:rsidR="0076430D" w:rsidRPr="00120DE5">
        <w:rPr>
          <w:rFonts w:eastAsia="Times New Roman" w:cs="Times New Roman"/>
          <w:spacing w:val="-4"/>
          <w:szCs w:val="28"/>
        </w:rPr>
        <w:t>sở,</w:t>
      </w:r>
      <w:r w:rsidR="0076430D">
        <w:rPr>
          <w:rFonts w:eastAsia="Times New Roman" w:cs="Times New Roman"/>
          <w:spacing w:val="-4"/>
          <w:szCs w:val="28"/>
        </w:rPr>
        <w:t xml:space="preserve"> ban,</w:t>
      </w:r>
      <w:r w:rsidR="0076430D" w:rsidRPr="00120DE5">
        <w:rPr>
          <w:rFonts w:eastAsia="Times New Roman" w:cs="Times New Roman"/>
          <w:spacing w:val="-4"/>
          <w:szCs w:val="28"/>
        </w:rPr>
        <w:t xml:space="preserve"> ngành, UBND các huyện, thị xã, thành phố</w:t>
      </w:r>
      <w:r w:rsidR="00983ADB" w:rsidRPr="00120DE5">
        <w:rPr>
          <w:spacing w:val="-2"/>
          <w:szCs w:val="28"/>
        </w:rPr>
        <w:t xml:space="preserve"> có liên quan</w:t>
      </w:r>
      <w:r w:rsidR="00983ADB" w:rsidRPr="00120DE5">
        <w:rPr>
          <w:szCs w:val="28"/>
        </w:rPr>
        <w:t>để xử lý các khoản nợ xấu liên quan đến nợ đọng xây dựng cơ bản có nguồn gốc từ ngân sách Nhà nước.</w:t>
      </w:r>
    </w:p>
    <w:p w:rsidR="00983ADB" w:rsidRPr="001C211C" w:rsidRDefault="001C211C" w:rsidP="00106CB7">
      <w:pPr>
        <w:spacing w:before="120" w:after="120" w:line="240" w:lineRule="auto"/>
        <w:ind w:firstLine="567"/>
        <w:rPr>
          <w:b/>
          <w:szCs w:val="28"/>
        </w:rPr>
      </w:pPr>
      <w:r>
        <w:rPr>
          <w:b/>
          <w:szCs w:val="28"/>
        </w:rPr>
        <w:t>2.4. Tòa án N</w:t>
      </w:r>
      <w:r w:rsidR="00983ADB" w:rsidRPr="001C211C">
        <w:rPr>
          <w:b/>
          <w:szCs w:val="28"/>
        </w:rPr>
        <w:t>hân dân và Viện Kiể</w:t>
      </w:r>
      <w:r>
        <w:rPr>
          <w:b/>
          <w:szCs w:val="28"/>
        </w:rPr>
        <w:t>m sát N</w:t>
      </w:r>
      <w:r w:rsidR="00983ADB" w:rsidRPr="001C211C">
        <w:rPr>
          <w:b/>
          <w:szCs w:val="28"/>
        </w:rPr>
        <w:t>hân dân tỉnh</w:t>
      </w:r>
      <w:r>
        <w:rPr>
          <w:b/>
          <w:szCs w:val="28"/>
        </w:rPr>
        <w:t>:</w:t>
      </w:r>
    </w:p>
    <w:p w:rsidR="00983ADB" w:rsidRPr="00120DE5" w:rsidRDefault="00983ADB" w:rsidP="00106CB7">
      <w:pPr>
        <w:spacing w:before="120" w:after="120" w:line="240" w:lineRule="auto"/>
        <w:ind w:firstLine="720"/>
        <w:rPr>
          <w:spacing w:val="-6"/>
          <w:szCs w:val="28"/>
        </w:rPr>
      </w:pPr>
      <w:r w:rsidRPr="00120DE5">
        <w:rPr>
          <w:spacing w:val="-6"/>
          <w:szCs w:val="28"/>
        </w:rPr>
        <w:t>- Thực hiện việc giải quyết tranh chấp hợp đồng tín dụng, xử lý nợ xấu theo Công văn số 152/TANDTC-PC ngày 19</w:t>
      </w:r>
      <w:r w:rsidR="003374D0" w:rsidRPr="00120DE5">
        <w:rPr>
          <w:spacing w:val="-6"/>
          <w:szCs w:val="28"/>
        </w:rPr>
        <w:t>/</w:t>
      </w:r>
      <w:r w:rsidRPr="00120DE5">
        <w:rPr>
          <w:spacing w:val="-6"/>
          <w:szCs w:val="28"/>
        </w:rPr>
        <w:t>7</w:t>
      </w:r>
      <w:r w:rsidR="003374D0" w:rsidRPr="00120DE5">
        <w:rPr>
          <w:spacing w:val="-6"/>
          <w:szCs w:val="28"/>
        </w:rPr>
        <w:t>/</w:t>
      </w:r>
      <w:r w:rsidRPr="00120DE5">
        <w:rPr>
          <w:spacing w:val="-6"/>
          <w:szCs w:val="28"/>
        </w:rPr>
        <w:t>2017 của Tòa án nhân dân tối cao.</w:t>
      </w:r>
    </w:p>
    <w:p w:rsidR="00983ADB" w:rsidRPr="00120DE5" w:rsidRDefault="00983ADB" w:rsidP="00106CB7">
      <w:pPr>
        <w:spacing w:before="120" w:after="120" w:line="240" w:lineRule="auto"/>
        <w:ind w:firstLine="720"/>
        <w:rPr>
          <w:szCs w:val="28"/>
        </w:rPr>
      </w:pPr>
      <w:r w:rsidRPr="00120DE5">
        <w:rPr>
          <w:szCs w:val="28"/>
        </w:rPr>
        <w:t>- Thực hiện áp dụng các thủ tục rút gọn trong giải quyết tranh chấp liên quan đến tài sản bảo đảm tại Tòa án theo quy định tại Nghị quyết 42/2017/QH14.</w:t>
      </w:r>
    </w:p>
    <w:p w:rsidR="00643D30" w:rsidRDefault="00983ADB" w:rsidP="00643D30">
      <w:pPr>
        <w:spacing w:before="120" w:after="120" w:line="240" w:lineRule="auto"/>
        <w:ind w:firstLine="567"/>
        <w:rPr>
          <w:rFonts w:eastAsia="Times New Roman" w:cs="Times New Roman"/>
          <w:b/>
          <w:szCs w:val="28"/>
        </w:rPr>
      </w:pPr>
      <w:r w:rsidRPr="001C211C">
        <w:rPr>
          <w:rFonts w:eastAsia="Times New Roman" w:cs="Times New Roman"/>
          <w:b/>
          <w:szCs w:val="28"/>
        </w:rPr>
        <w:t>2.5. Sở Tư pháp</w:t>
      </w:r>
      <w:r w:rsidR="001C211C">
        <w:rPr>
          <w:rFonts w:eastAsia="Times New Roman" w:cs="Times New Roman"/>
          <w:b/>
          <w:szCs w:val="28"/>
        </w:rPr>
        <w:t>:</w:t>
      </w:r>
    </w:p>
    <w:p w:rsidR="00983ADB" w:rsidRPr="00643D30" w:rsidRDefault="00983ADB" w:rsidP="00643D30">
      <w:pPr>
        <w:spacing w:before="120" w:after="120" w:line="240" w:lineRule="auto"/>
        <w:ind w:firstLine="567"/>
        <w:rPr>
          <w:rFonts w:eastAsia="Times New Roman" w:cs="Times New Roman"/>
          <w:b/>
          <w:szCs w:val="28"/>
        </w:rPr>
      </w:pPr>
      <w:r w:rsidRPr="00120DE5">
        <w:rPr>
          <w:rFonts w:eastAsia="Times New Roman" w:cs="Times New Roman"/>
          <w:spacing w:val="-4"/>
          <w:szCs w:val="28"/>
        </w:rPr>
        <w:t xml:space="preserve">- Hỗ trợ các </w:t>
      </w:r>
      <w:r w:rsidR="00077C6A" w:rsidRPr="00120DE5">
        <w:rPr>
          <w:rFonts w:eastAsia="Times New Roman" w:cs="Times New Roman"/>
          <w:szCs w:val="28"/>
        </w:rPr>
        <w:t>tổ chức tín dụng</w:t>
      </w:r>
      <w:r w:rsidRPr="00120DE5">
        <w:rPr>
          <w:rFonts w:eastAsia="Times New Roman" w:cs="Times New Roman"/>
          <w:spacing w:val="-4"/>
          <w:szCs w:val="28"/>
        </w:rPr>
        <w:t xml:space="preserve"> hoàn thiện các hồ sơ pháp lý liên quan đến tài sản bảo đảm tiền vay để thu hồi tài sản và sớm xử lý nợ xấu của các </w:t>
      </w:r>
      <w:r w:rsidR="00077C6A" w:rsidRPr="00120DE5">
        <w:rPr>
          <w:rFonts w:eastAsia="Times New Roman" w:cs="Times New Roman"/>
          <w:szCs w:val="28"/>
        </w:rPr>
        <w:t>tổ chức tín dụng</w:t>
      </w:r>
      <w:r w:rsidRPr="00120DE5">
        <w:rPr>
          <w:rFonts w:eastAsia="Times New Roman" w:cs="Times New Roman"/>
          <w:spacing w:val="-4"/>
          <w:szCs w:val="28"/>
        </w:rPr>
        <w:t xml:space="preserve"> khi có đề nghị.</w:t>
      </w:r>
    </w:p>
    <w:p w:rsidR="00643D30" w:rsidRPr="00120DE5" w:rsidRDefault="00983ADB" w:rsidP="00106CB7">
      <w:pPr>
        <w:spacing w:before="120" w:after="120" w:line="240" w:lineRule="auto"/>
        <w:ind w:firstLine="567"/>
        <w:rPr>
          <w:rFonts w:eastAsia="Times New Roman" w:cs="Times New Roman"/>
          <w:szCs w:val="28"/>
        </w:rPr>
      </w:pPr>
      <w:r w:rsidRPr="00120DE5">
        <w:rPr>
          <w:rFonts w:eastAsia="Times New Roman" w:cs="Times New Roman"/>
          <w:szCs w:val="28"/>
        </w:rPr>
        <w:t>- Phối hợp chặt chẽ với các cơ quan Thi hành án dân sự trong việc yêu cầu các tổ chức hành nghề công chứng kịp thời ngăn chặn các giao dịch đối với tài sản đã bị kê biên thi hành án.</w:t>
      </w:r>
    </w:p>
    <w:p w:rsidR="00983ADB" w:rsidRPr="001C211C" w:rsidRDefault="00983ADB" w:rsidP="00106CB7">
      <w:pPr>
        <w:spacing w:before="120" w:after="120" w:line="240" w:lineRule="auto"/>
        <w:ind w:firstLine="567"/>
        <w:rPr>
          <w:b/>
          <w:spacing w:val="-2"/>
          <w:szCs w:val="28"/>
        </w:rPr>
      </w:pPr>
      <w:r w:rsidRPr="001C211C">
        <w:rPr>
          <w:b/>
          <w:spacing w:val="-2"/>
          <w:szCs w:val="28"/>
        </w:rPr>
        <w:t>2.6. Cụ</w:t>
      </w:r>
      <w:r w:rsidR="001C211C">
        <w:rPr>
          <w:b/>
          <w:spacing w:val="-2"/>
          <w:szCs w:val="28"/>
        </w:rPr>
        <w:t>c Thi hành án D</w:t>
      </w:r>
      <w:r w:rsidRPr="001C211C">
        <w:rPr>
          <w:b/>
          <w:spacing w:val="-2"/>
          <w:szCs w:val="28"/>
        </w:rPr>
        <w:t>ân sự tỉnh</w:t>
      </w:r>
      <w:r w:rsidR="001C211C">
        <w:rPr>
          <w:b/>
          <w:spacing w:val="-2"/>
          <w:szCs w:val="28"/>
        </w:rPr>
        <w:t>:</w:t>
      </w:r>
    </w:p>
    <w:p w:rsidR="00983ADB" w:rsidRPr="00120DE5" w:rsidRDefault="00983ADB" w:rsidP="00106CB7">
      <w:pPr>
        <w:spacing w:before="120" w:after="120" w:line="240" w:lineRule="auto"/>
        <w:ind w:firstLine="567"/>
        <w:rPr>
          <w:spacing w:val="-4"/>
          <w:szCs w:val="28"/>
        </w:rPr>
      </w:pPr>
      <w:r w:rsidRPr="00120DE5">
        <w:rPr>
          <w:spacing w:val="-4"/>
          <w:szCs w:val="28"/>
        </w:rPr>
        <w:t xml:space="preserve">Phối hợp, hỗ trợ các </w:t>
      </w:r>
      <w:r w:rsidR="00077C6A" w:rsidRPr="00120DE5">
        <w:rPr>
          <w:rFonts w:eastAsia="Times New Roman" w:cs="Times New Roman"/>
          <w:szCs w:val="28"/>
        </w:rPr>
        <w:t>tổ chức tín dụng</w:t>
      </w:r>
      <w:r w:rsidRPr="00120DE5">
        <w:rPr>
          <w:spacing w:val="-4"/>
          <w:szCs w:val="28"/>
        </w:rPr>
        <w:t xml:space="preserve"> trên địa bàn trong quá trình thi hành bản án, quyết định của Tòa án về xử lý tài sản bảo đảm; Chỉ đạo Chi cục thi hành án dân sự các huyện, thị xã, thành phố phối hợp với các </w:t>
      </w:r>
      <w:r w:rsidR="00077C6A" w:rsidRPr="00120DE5">
        <w:rPr>
          <w:rFonts w:eastAsia="Times New Roman" w:cs="Times New Roman"/>
          <w:szCs w:val="28"/>
        </w:rPr>
        <w:t>tổ chức tín dụng</w:t>
      </w:r>
      <w:r w:rsidRPr="00120DE5">
        <w:rPr>
          <w:spacing w:val="-4"/>
          <w:szCs w:val="28"/>
        </w:rPr>
        <w:t xml:space="preserve"> trên địa bàn rà soát, </w:t>
      </w:r>
      <w:r w:rsidRPr="00120DE5">
        <w:rPr>
          <w:spacing w:val="-4"/>
          <w:szCs w:val="28"/>
        </w:rPr>
        <w:lastRenderedPageBreak/>
        <w:t>tổng hợp các bản án, quyết định có hiệu lực của Tòa án chưa được thi hành hoặc đang được thi hành dở dang, đẩy nhanh thi hành án các vụ án còn tồn đọng.</w:t>
      </w:r>
    </w:p>
    <w:p w:rsidR="00983ADB" w:rsidRPr="001C211C" w:rsidRDefault="00983ADB" w:rsidP="00106CB7">
      <w:pPr>
        <w:spacing w:before="120" w:after="120" w:line="240" w:lineRule="auto"/>
        <w:ind w:firstLine="567"/>
        <w:rPr>
          <w:rFonts w:eastAsia="Times New Roman" w:cs="Times New Roman"/>
          <w:b/>
          <w:szCs w:val="28"/>
        </w:rPr>
      </w:pPr>
      <w:r w:rsidRPr="001C211C">
        <w:rPr>
          <w:rFonts w:eastAsia="Times New Roman" w:cs="Times New Roman"/>
          <w:b/>
          <w:szCs w:val="28"/>
        </w:rPr>
        <w:t>2.7. Công an tỉnh</w:t>
      </w:r>
      <w:r w:rsidR="001C211C">
        <w:rPr>
          <w:rFonts w:eastAsia="Times New Roman" w:cs="Times New Roman"/>
          <w:b/>
          <w:szCs w:val="28"/>
        </w:rPr>
        <w:t>:</w:t>
      </w:r>
    </w:p>
    <w:p w:rsidR="00983ADB" w:rsidRPr="00120DE5" w:rsidRDefault="00983ADB" w:rsidP="00106CB7">
      <w:pPr>
        <w:spacing w:before="120" w:after="120" w:line="240" w:lineRule="auto"/>
        <w:ind w:firstLine="567"/>
        <w:rPr>
          <w:szCs w:val="28"/>
        </w:rPr>
      </w:pPr>
      <w:r w:rsidRPr="00120DE5">
        <w:rPr>
          <w:szCs w:val="28"/>
        </w:rPr>
        <w:t>- Phối hợp chặt chẽ với với</w:t>
      </w:r>
      <w:r w:rsidR="00B814DE">
        <w:rPr>
          <w:szCs w:val="28"/>
        </w:rPr>
        <w:t xml:space="preserve"> ngành ngân hàng,</w:t>
      </w:r>
      <w:r w:rsidRPr="00120DE5">
        <w:rPr>
          <w:szCs w:val="28"/>
        </w:rPr>
        <w:t xml:space="preserve"> các cơ quan, đơn vị liên quan trong việc phòng ngừa, phát hiện và xử lý các hành vi vi phạm pháp luật trong lĩnh vực tiền tệ và hoạt động ngân hàng.</w:t>
      </w:r>
    </w:p>
    <w:p w:rsidR="00983ADB" w:rsidRPr="00120DE5" w:rsidRDefault="00983ADB" w:rsidP="00106CB7">
      <w:pPr>
        <w:spacing w:before="120" w:after="120" w:line="240" w:lineRule="auto"/>
        <w:ind w:firstLine="567"/>
        <w:rPr>
          <w:szCs w:val="28"/>
        </w:rPr>
      </w:pPr>
      <w:r w:rsidRPr="00120DE5">
        <w:rPr>
          <w:szCs w:val="28"/>
        </w:rPr>
        <w:t xml:space="preserve">- Chỉ đạo Công an các cấp nơi tiến hành thu giữ tài sản bảo đảm, trong phạm vi chức năng, nhiệm vụ quyền hạn của mình phối hợp, hỗ trợ thực hiện giữ gìn an ninh trật tự khi </w:t>
      </w:r>
      <w:r w:rsidR="00077C6A" w:rsidRPr="00120DE5">
        <w:rPr>
          <w:rFonts w:eastAsia="Times New Roman" w:cs="Times New Roman"/>
          <w:szCs w:val="28"/>
        </w:rPr>
        <w:t>tổ chức tín dụng</w:t>
      </w:r>
      <w:r w:rsidRPr="00120DE5">
        <w:rPr>
          <w:szCs w:val="28"/>
        </w:rPr>
        <w:t xml:space="preserve">, Công ty Quản lý tài sản (VAMC) thực hiện quyền thu giữ, xử lý tài sản bảo đảm của khoản nợ xấu để thu hồi nợ. </w:t>
      </w:r>
    </w:p>
    <w:p w:rsidR="00983ADB" w:rsidRPr="00120DE5" w:rsidRDefault="00983ADB" w:rsidP="00106CB7">
      <w:pPr>
        <w:spacing w:before="120" w:after="120" w:line="240" w:lineRule="auto"/>
        <w:ind w:firstLine="567"/>
        <w:rPr>
          <w:szCs w:val="28"/>
        </w:rPr>
      </w:pPr>
      <w:r w:rsidRPr="00120DE5">
        <w:rPr>
          <w:szCs w:val="28"/>
        </w:rPr>
        <w:t>- Chỉ đạo Cơ quan điều tra phối hợp chặt chẽ với các cơ quan, tổ chức liên quan đẩy nhanh việc điều tra, xử lý nghiêm minh đối với các hành vi vi phạm pháp luật trong lĩnh vực tiền tệ và hoạt động ngân hàng.</w:t>
      </w:r>
    </w:p>
    <w:p w:rsidR="00983ADB" w:rsidRPr="001C211C" w:rsidRDefault="00983ADB" w:rsidP="00106CB7">
      <w:pPr>
        <w:spacing w:before="120" w:after="120" w:line="240" w:lineRule="auto"/>
        <w:ind w:firstLine="567"/>
        <w:rPr>
          <w:rFonts w:eastAsia="Times New Roman" w:cs="Times New Roman"/>
          <w:b/>
          <w:szCs w:val="28"/>
        </w:rPr>
      </w:pPr>
      <w:r w:rsidRPr="001C211C">
        <w:rPr>
          <w:rFonts w:eastAsia="Times New Roman" w:cs="Times New Roman"/>
          <w:b/>
          <w:szCs w:val="28"/>
        </w:rPr>
        <w:t>2.8. Sở Tài nguyên và Môi trường</w:t>
      </w:r>
      <w:r w:rsidR="001C211C">
        <w:rPr>
          <w:rFonts w:eastAsia="Times New Roman" w:cs="Times New Roman"/>
          <w:b/>
          <w:szCs w:val="28"/>
        </w:rPr>
        <w:t>:</w:t>
      </w:r>
    </w:p>
    <w:p w:rsidR="00643D30" w:rsidRDefault="00983ADB" w:rsidP="00643D30">
      <w:pPr>
        <w:spacing w:before="120" w:after="120" w:line="240" w:lineRule="auto"/>
        <w:ind w:firstLine="567"/>
        <w:rPr>
          <w:rFonts w:eastAsia="Times New Roman" w:cs="Times New Roman"/>
          <w:szCs w:val="28"/>
        </w:rPr>
      </w:pPr>
      <w:r w:rsidRPr="00120DE5">
        <w:rPr>
          <w:rFonts w:eastAsia="Times New Roman" w:cs="Times New Roman"/>
          <w:szCs w:val="28"/>
        </w:rPr>
        <w:t xml:space="preserve">- Chủ trì, phối hợp với các </w:t>
      </w:r>
      <w:r w:rsidR="00865D5A" w:rsidRPr="00120DE5">
        <w:rPr>
          <w:rFonts w:eastAsia="Times New Roman" w:cs="Times New Roman"/>
          <w:szCs w:val="28"/>
        </w:rPr>
        <w:t>s</w:t>
      </w:r>
      <w:r w:rsidRPr="00120DE5">
        <w:rPr>
          <w:rFonts w:eastAsia="Times New Roman" w:cs="Times New Roman"/>
          <w:szCs w:val="28"/>
        </w:rPr>
        <w:t xml:space="preserve">ở, </w:t>
      </w:r>
      <w:r w:rsidR="00865D5A" w:rsidRPr="00120DE5">
        <w:rPr>
          <w:rFonts w:eastAsia="Times New Roman" w:cs="Times New Roman"/>
          <w:szCs w:val="28"/>
        </w:rPr>
        <w:t>b</w:t>
      </w:r>
      <w:r w:rsidRPr="00120DE5">
        <w:rPr>
          <w:rFonts w:eastAsia="Times New Roman" w:cs="Times New Roman"/>
          <w:szCs w:val="28"/>
        </w:rPr>
        <w:t xml:space="preserve">an, ngành và địa phương hướng dẫn việc đăng ký thế chấp quyền sử dụng đất, tài sản gắn liền với đất, tài sản gắn liền với đất hình thành trong tương lai; đăng ký thay đổi Giấy chứng nhận quyền sử dụng đất, quyền sở hữu nhà ở và tài sản khác gắn liền với đất là tài sản bảo đảm của khoản nợ có nguồn gốc từ khoản nợ xấu của </w:t>
      </w:r>
      <w:r w:rsidR="00077C6A" w:rsidRPr="00120DE5">
        <w:rPr>
          <w:rFonts w:eastAsia="Times New Roman" w:cs="Times New Roman"/>
          <w:szCs w:val="28"/>
        </w:rPr>
        <w:t>tổ chức tín dụng</w:t>
      </w:r>
      <w:r w:rsidRPr="00120DE5">
        <w:rPr>
          <w:rFonts w:eastAsia="Times New Roman" w:cs="Times New Roman"/>
          <w:szCs w:val="28"/>
        </w:rPr>
        <w:t>.</w:t>
      </w:r>
    </w:p>
    <w:p w:rsidR="00983ADB" w:rsidRPr="00120DE5" w:rsidRDefault="00983ADB" w:rsidP="00643D30">
      <w:pPr>
        <w:spacing w:before="120" w:after="120" w:line="240" w:lineRule="auto"/>
        <w:ind w:firstLine="567"/>
        <w:rPr>
          <w:rFonts w:eastAsia="Times New Roman" w:cs="Times New Roman"/>
          <w:szCs w:val="28"/>
        </w:rPr>
      </w:pPr>
      <w:r w:rsidRPr="00120DE5">
        <w:rPr>
          <w:rFonts w:eastAsia="Times New Roman" w:cs="Times New Roman"/>
          <w:szCs w:val="28"/>
        </w:rPr>
        <w:t>- Chỉ đạo các chi nhánh Văn phòng đăng ký đất đai cung cấp thông tin tài sản của người sử dụng đất khi có yêu cầu của cơ quan Thi hành án dân sự theo quy định.</w:t>
      </w:r>
    </w:p>
    <w:p w:rsidR="00983ADB" w:rsidRPr="00120DE5" w:rsidRDefault="00983ADB" w:rsidP="00106CB7">
      <w:pPr>
        <w:spacing w:before="120" w:after="120" w:line="240" w:lineRule="auto"/>
        <w:ind w:firstLine="720"/>
        <w:rPr>
          <w:rFonts w:eastAsia="Times New Roman" w:cs="Times New Roman"/>
          <w:szCs w:val="28"/>
        </w:rPr>
      </w:pPr>
      <w:r w:rsidRPr="00120DE5">
        <w:rPr>
          <w:rFonts w:eastAsia="Times New Roman" w:cs="Times New Roman"/>
          <w:szCs w:val="28"/>
        </w:rPr>
        <w:t>- Thực hiện công khai thông tin các giao dịch quyền sử dụng đất, tài sản gắn liền với đất trên hệ thống thông tin điện tử theo quy định hiện hành để các bên liên quan nắm bắt.</w:t>
      </w:r>
    </w:p>
    <w:p w:rsidR="00983ADB" w:rsidRPr="001C211C" w:rsidRDefault="00983ADB" w:rsidP="00106CB7">
      <w:pPr>
        <w:spacing w:before="120" w:after="120" w:line="240" w:lineRule="auto"/>
        <w:ind w:firstLine="567"/>
        <w:rPr>
          <w:b/>
          <w:szCs w:val="28"/>
        </w:rPr>
      </w:pPr>
      <w:r w:rsidRPr="001C211C">
        <w:rPr>
          <w:b/>
          <w:szCs w:val="28"/>
        </w:rPr>
        <w:t>2.9.  Sở Thông tin và Truyền thông</w:t>
      </w:r>
      <w:r w:rsidR="001C211C">
        <w:rPr>
          <w:b/>
          <w:szCs w:val="28"/>
        </w:rPr>
        <w:t>:</w:t>
      </w:r>
    </w:p>
    <w:p w:rsidR="00983ADB" w:rsidRPr="00120DE5" w:rsidRDefault="00983ADB" w:rsidP="00106CB7">
      <w:pPr>
        <w:spacing w:before="120" w:after="120" w:line="240" w:lineRule="auto"/>
        <w:ind w:firstLine="720"/>
        <w:rPr>
          <w:szCs w:val="28"/>
        </w:rPr>
      </w:pPr>
      <w:r w:rsidRPr="00120DE5">
        <w:rPr>
          <w:szCs w:val="28"/>
        </w:rPr>
        <w:t xml:space="preserve">Phối hợp với các </w:t>
      </w:r>
      <w:r w:rsidR="00865D5A" w:rsidRPr="00120DE5">
        <w:rPr>
          <w:szCs w:val="28"/>
        </w:rPr>
        <w:t>s</w:t>
      </w:r>
      <w:r w:rsidRPr="00120DE5">
        <w:rPr>
          <w:szCs w:val="28"/>
        </w:rPr>
        <w:t xml:space="preserve">ở, ngành liên quan và </w:t>
      </w:r>
      <w:r w:rsidR="00865D5A" w:rsidRPr="00120DE5">
        <w:rPr>
          <w:rFonts w:eastAsia="Times New Roman" w:cs="Times New Roman"/>
          <w:szCs w:val="28"/>
        </w:rPr>
        <w:t>Ngân hàng Nhà nước</w:t>
      </w:r>
      <w:r w:rsidRPr="00120DE5">
        <w:rPr>
          <w:szCs w:val="28"/>
        </w:rPr>
        <w:t xml:space="preserve"> tỉnh trong công tác chỉ đạo, cung cấp thông tin cho các cơ quan báo chí, phương tiện thông tin đại chúng thực hiện việc đưa tin, tuyên truyền các chủ trương, chính sách về tiền tệ, hoạt động ngân hàng, cơ cấu lại hệ thống </w:t>
      </w:r>
      <w:r w:rsidR="00077C6A" w:rsidRPr="00120DE5">
        <w:rPr>
          <w:rFonts w:eastAsia="Times New Roman" w:cs="Times New Roman"/>
          <w:szCs w:val="28"/>
        </w:rPr>
        <w:t>tổ chức tín dụng</w:t>
      </w:r>
      <w:r w:rsidRPr="00120DE5">
        <w:rPr>
          <w:szCs w:val="28"/>
        </w:rPr>
        <w:t xml:space="preserve"> và xử lý nợ xấu.</w:t>
      </w:r>
    </w:p>
    <w:p w:rsidR="00983ADB" w:rsidRPr="001C211C" w:rsidRDefault="00983ADB" w:rsidP="00106CB7">
      <w:pPr>
        <w:spacing w:before="120" w:after="120" w:line="240" w:lineRule="auto"/>
        <w:ind w:firstLine="567"/>
        <w:rPr>
          <w:rFonts w:eastAsia="Times New Roman" w:cs="Times New Roman"/>
          <w:b/>
          <w:szCs w:val="28"/>
        </w:rPr>
      </w:pPr>
      <w:r w:rsidRPr="001C211C">
        <w:rPr>
          <w:rFonts w:eastAsia="Times New Roman" w:cs="Times New Roman"/>
          <w:b/>
          <w:szCs w:val="28"/>
        </w:rPr>
        <w:t>2.10. UBND các huyện, thị xã, thành phố</w:t>
      </w:r>
      <w:r w:rsidR="001C211C">
        <w:rPr>
          <w:rFonts w:eastAsia="Times New Roman" w:cs="Times New Roman"/>
          <w:b/>
          <w:szCs w:val="28"/>
        </w:rPr>
        <w:t>:</w:t>
      </w:r>
    </w:p>
    <w:p w:rsidR="00983ADB" w:rsidRPr="00120DE5" w:rsidRDefault="00983ADB" w:rsidP="00106CB7">
      <w:pPr>
        <w:spacing w:before="120" w:after="120" w:line="240" w:lineRule="auto"/>
        <w:ind w:firstLine="720"/>
        <w:rPr>
          <w:rFonts w:eastAsia="Times New Roman" w:cs="Times New Roman"/>
          <w:szCs w:val="28"/>
        </w:rPr>
      </w:pPr>
      <w:r w:rsidRPr="00120DE5">
        <w:rPr>
          <w:rFonts w:eastAsia="Times New Roman" w:cs="Times New Roman"/>
          <w:szCs w:val="28"/>
        </w:rPr>
        <w:t>- Phối hợp chặt chẽ với Ngân hàng Nhà nước tỉnh trong việc</w:t>
      </w:r>
      <w:r w:rsidR="00865D5A" w:rsidRPr="00120DE5">
        <w:rPr>
          <w:rFonts w:eastAsia="Times New Roman" w:cs="Times New Roman"/>
          <w:szCs w:val="28"/>
        </w:rPr>
        <w:t xml:space="preserve"> đ</w:t>
      </w:r>
      <w:r w:rsidRPr="00120DE5">
        <w:rPr>
          <w:rFonts w:eastAsia="Times New Roman" w:cs="Times New Roman"/>
          <w:szCs w:val="28"/>
        </w:rPr>
        <w:t xml:space="preserve">ẩy mạnh công tác tuyên truyền về chủ trương, chính sách, pháp luật của Đảng và Nhà nước đối với </w:t>
      </w:r>
      <w:r w:rsidR="00077C6A" w:rsidRPr="00120DE5">
        <w:rPr>
          <w:rFonts w:eastAsia="Times New Roman" w:cs="Times New Roman"/>
          <w:szCs w:val="28"/>
        </w:rPr>
        <w:t>Quỹ tín dụng nhân dân</w:t>
      </w:r>
      <w:r w:rsidRPr="00120DE5">
        <w:rPr>
          <w:rFonts w:eastAsia="Times New Roman" w:cs="Times New Roman"/>
          <w:szCs w:val="28"/>
        </w:rPr>
        <w:t xml:space="preserve">; tăng cường tuyên truyền, vận động mọi tầng lớp nhân dân tham gia phát triển hệ thống </w:t>
      </w:r>
      <w:r w:rsidR="00077C6A" w:rsidRPr="00120DE5">
        <w:rPr>
          <w:rFonts w:eastAsia="Times New Roman" w:cs="Times New Roman"/>
          <w:szCs w:val="28"/>
        </w:rPr>
        <w:t>Quỹ tín dụng nhân dân</w:t>
      </w:r>
      <w:r w:rsidRPr="00120DE5">
        <w:rPr>
          <w:rFonts w:eastAsia="Times New Roman" w:cs="Times New Roman"/>
          <w:szCs w:val="28"/>
        </w:rPr>
        <w:t xml:space="preserve"> và người gửi tiền ổn định tâm lý, yên tâm gửi tiền tại </w:t>
      </w:r>
      <w:r w:rsidR="00077C6A" w:rsidRPr="00120DE5">
        <w:rPr>
          <w:rFonts w:eastAsia="Times New Roman" w:cs="Times New Roman"/>
          <w:szCs w:val="28"/>
        </w:rPr>
        <w:t>Quỹ tín dụng nhân dân</w:t>
      </w:r>
      <w:r w:rsidRPr="00120DE5">
        <w:rPr>
          <w:rFonts w:eastAsia="Times New Roman" w:cs="Times New Roman"/>
          <w:szCs w:val="28"/>
        </w:rPr>
        <w:t>.</w:t>
      </w:r>
    </w:p>
    <w:p w:rsidR="00983ADB" w:rsidRPr="00120DE5" w:rsidRDefault="00983ADB" w:rsidP="00106CB7">
      <w:pPr>
        <w:spacing w:before="120" w:after="120" w:line="240" w:lineRule="auto"/>
        <w:ind w:firstLine="720"/>
        <w:rPr>
          <w:rFonts w:eastAsia="Times New Roman" w:cs="Times New Roman"/>
          <w:szCs w:val="28"/>
        </w:rPr>
      </w:pPr>
      <w:r w:rsidRPr="00120DE5">
        <w:rPr>
          <w:rFonts w:eastAsia="Times New Roman" w:cs="Times New Roman"/>
          <w:szCs w:val="28"/>
        </w:rPr>
        <w:t xml:space="preserve">- </w:t>
      </w:r>
      <w:r w:rsidR="00B814DE">
        <w:rPr>
          <w:rFonts w:eastAsia="Times New Roman" w:cs="Times New Roman"/>
          <w:szCs w:val="28"/>
        </w:rPr>
        <w:t xml:space="preserve">Tạo điều kiện thuận lợi cho các tổ chức tín dụng, VAMC tiến hành thu giữ, xử lý </w:t>
      </w:r>
      <w:r w:rsidRPr="00120DE5">
        <w:rPr>
          <w:rFonts w:eastAsia="Times New Roman" w:cs="Times New Roman"/>
          <w:szCs w:val="28"/>
        </w:rPr>
        <w:t>tài sản bảo đảm</w:t>
      </w:r>
      <w:r w:rsidR="00B814DE">
        <w:rPr>
          <w:rFonts w:eastAsia="Times New Roman" w:cs="Times New Roman"/>
          <w:szCs w:val="28"/>
        </w:rPr>
        <w:t xml:space="preserve"> thu hồi nợ xấu theo đúng quy định của pháp luật.</w:t>
      </w:r>
    </w:p>
    <w:p w:rsidR="00983ADB" w:rsidRPr="00120DE5" w:rsidRDefault="00983ADB" w:rsidP="0016249D">
      <w:pPr>
        <w:spacing w:before="120" w:after="120" w:line="240" w:lineRule="auto"/>
        <w:ind w:firstLine="720"/>
        <w:rPr>
          <w:rFonts w:eastAsia="Times New Roman" w:cs="Times New Roman"/>
          <w:spacing w:val="-4"/>
          <w:szCs w:val="28"/>
        </w:rPr>
      </w:pPr>
      <w:r w:rsidRPr="00120DE5">
        <w:rPr>
          <w:rFonts w:eastAsia="Times New Roman" w:cs="Times New Roman"/>
          <w:spacing w:val="-4"/>
          <w:szCs w:val="28"/>
        </w:rPr>
        <w:lastRenderedPageBreak/>
        <w:t xml:space="preserve">- Phối hợp với các </w:t>
      </w:r>
      <w:r w:rsidR="00865D5A" w:rsidRPr="00120DE5">
        <w:rPr>
          <w:rFonts w:eastAsia="Times New Roman" w:cs="Times New Roman"/>
          <w:spacing w:val="-4"/>
          <w:szCs w:val="28"/>
        </w:rPr>
        <w:t>s</w:t>
      </w:r>
      <w:r w:rsidRPr="00120DE5">
        <w:rPr>
          <w:rFonts w:eastAsia="Times New Roman" w:cs="Times New Roman"/>
          <w:spacing w:val="-4"/>
          <w:szCs w:val="28"/>
        </w:rPr>
        <w:t>ở, ngành của tỉnh và chỉ đạo các ngành có liên quancủa huyện trong việc</w:t>
      </w:r>
      <w:r w:rsidR="00865D5A" w:rsidRPr="00120DE5">
        <w:rPr>
          <w:rFonts w:eastAsia="Times New Roman" w:cs="Times New Roman"/>
          <w:spacing w:val="-4"/>
          <w:szCs w:val="28"/>
        </w:rPr>
        <w:t xml:space="preserve"> h</w:t>
      </w:r>
      <w:r w:rsidRPr="00120DE5">
        <w:rPr>
          <w:rFonts w:eastAsia="Times New Roman" w:cs="Times New Roman"/>
          <w:spacing w:val="-4"/>
          <w:szCs w:val="28"/>
        </w:rPr>
        <w:t xml:space="preserve">oàn tất các thủ tục pháp lý, hồ sơ pháp lý về tài sản đảm bảo; </w:t>
      </w:r>
      <w:r w:rsidR="00B814DE">
        <w:rPr>
          <w:rFonts w:eastAsia="Times New Roman" w:cs="Times New Roman"/>
          <w:spacing w:val="-4"/>
          <w:szCs w:val="28"/>
        </w:rPr>
        <w:t>xử lý tài sản đảm bảo để thu hồi nợ xấu theo quy định của pháp luật</w:t>
      </w:r>
      <w:r w:rsidRPr="00120DE5">
        <w:rPr>
          <w:rFonts w:eastAsia="Times New Roman" w:cs="Times New Roman"/>
          <w:spacing w:val="-4"/>
          <w:szCs w:val="28"/>
        </w:rPr>
        <w:t>.</w:t>
      </w:r>
    </w:p>
    <w:p w:rsidR="00F82E2D" w:rsidRPr="001C211C" w:rsidRDefault="00F82E2D" w:rsidP="0016249D">
      <w:pPr>
        <w:tabs>
          <w:tab w:val="left" w:pos="993"/>
        </w:tabs>
        <w:spacing w:before="120" w:after="120" w:line="240" w:lineRule="auto"/>
        <w:ind w:firstLine="561"/>
        <w:rPr>
          <w:b/>
          <w:szCs w:val="28"/>
        </w:rPr>
      </w:pPr>
      <w:r w:rsidRPr="001C211C">
        <w:rPr>
          <w:b/>
          <w:szCs w:val="28"/>
        </w:rPr>
        <w:t>2.11.</w:t>
      </w:r>
      <w:r w:rsidR="006C052F" w:rsidRPr="001C211C">
        <w:rPr>
          <w:b/>
          <w:szCs w:val="28"/>
          <w:lang w:val="vi-VN"/>
        </w:rPr>
        <w:t>C</w:t>
      </w:r>
      <w:r w:rsidRPr="001C211C">
        <w:rPr>
          <w:b/>
          <w:szCs w:val="28"/>
          <w:lang w:val="vi-VN"/>
        </w:rPr>
        <w:t xml:space="preserve">ác </w:t>
      </w:r>
      <w:r w:rsidR="006C052F" w:rsidRPr="001C211C">
        <w:rPr>
          <w:b/>
          <w:szCs w:val="28"/>
          <w:lang w:val="vi-VN"/>
        </w:rPr>
        <w:t>tổ chức tín dụng</w:t>
      </w:r>
      <w:r w:rsidRPr="001C211C">
        <w:rPr>
          <w:b/>
          <w:szCs w:val="28"/>
          <w:lang w:val="vi-VN"/>
        </w:rPr>
        <w:t xml:space="preserve"> trên địa bàn</w:t>
      </w:r>
      <w:r w:rsidR="006C052F" w:rsidRPr="001C211C">
        <w:rPr>
          <w:b/>
          <w:szCs w:val="28"/>
          <w:lang w:val="vi-VN"/>
        </w:rPr>
        <w:t xml:space="preserve"> tỉnh</w:t>
      </w:r>
      <w:r w:rsidR="001C211C">
        <w:rPr>
          <w:b/>
          <w:szCs w:val="28"/>
        </w:rPr>
        <w:t>:</w:t>
      </w:r>
    </w:p>
    <w:p w:rsidR="00F82E2D" w:rsidRPr="00120DE5" w:rsidRDefault="00F82E2D" w:rsidP="0016249D">
      <w:pPr>
        <w:autoSpaceDE w:val="0"/>
        <w:autoSpaceDN w:val="0"/>
        <w:adjustRightInd w:val="0"/>
        <w:spacing w:before="120" w:after="120" w:line="240" w:lineRule="auto"/>
        <w:ind w:firstLine="561"/>
        <w:rPr>
          <w:szCs w:val="28"/>
          <w:lang w:val="vi-VN"/>
        </w:rPr>
      </w:pPr>
      <w:r w:rsidRPr="00120DE5">
        <w:rPr>
          <w:szCs w:val="28"/>
          <w:lang w:val="vi-VN"/>
        </w:rPr>
        <w:t xml:space="preserve">- Tổ chức quán triệt, phổ biến nội dung Đề án 1058, Chỉ thị 06, Quyết định 1533 và các văn bản hướng dẫn liên quan đến toàn thể cán bộ </w:t>
      </w:r>
      <w:r w:rsidR="006C052F" w:rsidRPr="00120DE5">
        <w:rPr>
          <w:szCs w:val="28"/>
          <w:lang w:val="vi-VN"/>
        </w:rPr>
        <w:t xml:space="preserve">công nhân viên </w:t>
      </w:r>
      <w:r w:rsidRPr="00120DE5">
        <w:rPr>
          <w:szCs w:val="28"/>
          <w:lang w:val="vi-VN"/>
        </w:rPr>
        <w:t xml:space="preserve">trong đơn vị và tổ chức thực hiện hiệu quả. </w:t>
      </w:r>
    </w:p>
    <w:p w:rsidR="00F82E2D" w:rsidRPr="00120DE5" w:rsidRDefault="00F82E2D" w:rsidP="0016249D">
      <w:pPr>
        <w:tabs>
          <w:tab w:val="left" w:pos="851"/>
          <w:tab w:val="left" w:pos="993"/>
        </w:tabs>
        <w:spacing w:before="120" w:after="120" w:line="240" w:lineRule="auto"/>
        <w:ind w:firstLine="561"/>
        <w:rPr>
          <w:szCs w:val="28"/>
          <w:lang w:val="vi-VN"/>
        </w:rPr>
      </w:pPr>
      <w:r w:rsidRPr="00120DE5">
        <w:rPr>
          <w:spacing w:val="-2"/>
          <w:szCs w:val="28"/>
          <w:lang w:val="vi-VN"/>
        </w:rPr>
        <w:t xml:space="preserve">- </w:t>
      </w:r>
      <w:r w:rsidR="006C052F" w:rsidRPr="00120DE5">
        <w:rPr>
          <w:szCs w:val="28"/>
          <w:lang w:val="vi-VN"/>
        </w:rPr>
        <w:t>X</w:t>
      </w:r>
      <w:r w:rsidRPr="00120DE5">
        <w:rPr>
          <w:szCs w:val="28"/>
          <w:lang w:val="vi-VN"/>
        </w:rPr>
        <w:t xml:space="preserve">ây dựng và trình cấp có thẩm quyền phê duyệt </w:t>
      </w:r>
      <w:r w:rsidRPr="00120DE5">
        <w:rPr>
          <w:spacing w:val="-2"/>
          <w:szCs w:val="28"/>
          <w:lang w:val="vi-VN"/>
        </w:rPr>
        <w:t>Phương án Cơ cấu lại TCTD gắn với xử lý nợ xấu từ nay đến năm 2020 của đơn vị</w:t>
      </w:r>
      <w:r w:rsidRPr="00120DE5">
        <w:rPr>
          <w:szCs w:val="28"/>
          <w:lang w:val="vi-VN"/>
        </w:rPr>
        <w:t xml:space="preserve"> và triển khai thực hiện; t</w:t>
      </w:r>
      <w:r w:rsidRPr="00120DE5">
        <w:rPr>
          <w:spacing w:val="-2"/>
          <w:szCs w:val="28"/>
          <w:lang w:val="vi-VN"/>
        </w:rPr>
        <w:t xml:space="preserve">rong đó bám sát việc triển khai các mục tiêu, nhiệm vụ, giải pháp tại </w:t>
      </w:r>
      <w:r w:rsidRPr="00120DE5">
        <w:rPr>
          <w:szCs w:val="28"/>
          <w:lang w:val="vi-VN"/>
        </w:rPr>
        <w:t>Đề án 1058, Chỉ thị 06, Quyết định 1533</w:t>
      </w:r>
      <w:r w:rsidRPr="00120DE5">
        <w:rPr>
          <w:spacing w:val="-2"/>
          <w:szCs w:val="28"/>
          <w:lang w:val="vi-VN"/>
        </w:rPr>
        <w:t xml:space="preserve"> và các văn bản liên quan, đảm bảo mục tiêu xử lý nợ xấu theo Phương án đã được phê duyệt.</w:t>
      </w:r>
    </w:p>
    <w:p w:rsidR="00F82E2D" w:rsidRPr="00120DE5" w:rsidRDefault="00F82E2D" w:rsidP="00106CB7">
      <w:pPr>
        <w:autoSpaceDE w:val="0"/>
        <w:autoSpaceDN w:val="0"/>
        <w:adjustRightInd w:val="0"/>
        <w:spacing w:before="120" w:after="120" w:line="240" w:lineRule="auto"/>
        <w:ind w:firstLine="561"/>
        <w:rPr>
          <w:szCs w:val="28"/>
          <w:lang w:val="vi-VN"/>
        </w:rPr>
      </w:pPr>
      <w:r w:rsidRPr="00120DE5">
        <w:rPr>
          <w:szCs w:val="28"/>
          <w:lang w:val="vi-VN"/>
        </w:rPr>
        <w:t>- Thực hiện các giải pháp nâng cao năng lực quản trị nội bộ đặc biệt là quản trị rủi ro, nâng cao chất lượng thẩm định tín dụng, nâng cao năng lực cán bộ thực hiện công tác thẩm định cấp tín dụng, xử lý nợ.</w:t>
      </w:r>
    </w:p>
    <w:p w:rsidR="00F82E2D" w:rsidRPr="00120DE5" w:rsidRDefault="00F82E2D" w:rsidP="00106CB7">
      <w:pPr>
        <w:autoSpaceDE w:val="0"/>
        <w:autoSpaceDN w:val="0"/>
        <w:adjustRightInd w:val="0"/>
        <w:spacing w:before="120" w:after="120" w:line="240" w:lineRule="auto"/>
        <w:ind w:firstLine="561"/>
        <w:rPr>
          <w:szCs w:val="28"/>
          <w:lang w:val="vi-VN"/>
        </w:rPr>
      </w:pPr>
      <w:r w:rsidRPr="00120DE5">
        <w:rPr>
          <w:szCs w:val="28"/>
          <w:lang w:val="vi-VN"/>
        </w:rPr>
        <w:t>- Thực hiện có hiệu quả các giải pháp để ngăn chặn hành vi vi phạm pháp luật làm phát sinh nợ xấu tại đơn vị.</w:t>
      </w:r>
    </w:p>
    <w:p w:rsidR="00F82E2D" w:rsidRPr="00120DE5" w:rsidRDefault="00F82E2D" w:rsidP="00106CB7">
      <w:pPr>
        <w:autoSpaceDE w:val="0"/>
        <w:autoSpaceDN w:val="0"/>
        <w:adjustRightInd w:val="0"/>
        <w:spacing w:before="120" w:after="120" w:line="240" w:lineRule="auto"/>
        <w:ind w:firstLine="561"/>
        <w:rPr>
          <w:spacing w:val="2"/>
          <w:szCs w:val="28"/>
          <w:lang w:val="vi-VN"/>
        </w:rPr>
      </w:pPr>
      <w:r w:rsidRPr="00120DE5">
        <w:rPr>
          <w:spacing w:val="2"/>
          <w:szCs w:val="28"/>
          <w:lang w:val="vi-VN"/>
        </w:rPr>
        <w:t xml:space="preserve">- Chủ trì, phối hợp với UBND huyện, thị xã, thành phố và các đơn vị đồng cấp triển khai thực hiện </w:t>
      </w:r>
      <w:r w:rsidRPr="00120DE5">
        <w:rPr>
          <w:szCs w:val="28"/>
          <w:lang w:val="vi-VN"/>
        </w:rPr>
        <w:t xml:space="preserve">Đề án 1058, Chỉ thị 06, Quyết định 1533 </w:t>
      </w:r>
      <w:r w:rsidR="00643D30">
        <w:rPr>
          <w:spacing w:val="2"/>
          <w:szCs w:val="28"/>
          <w:lang w:val="vi-VN"/>
        </w:rPr>
        <w:t xml:space="preserve">và </w:t>
      </w:r>
      <w:r w:rsidR="00643D30">
        <w:rPr>
          <w:spacing w:val="2"/>
          <w:szCs w:val="28"/>
        </w:rPr>
        <w:t>V</w:t>
      </w:r>
      <w:r w:rsidRPr="00120DE5">
        <w:rPr>
          <w:spacing w:val="2"/>
          <w:szCs w:val="28"/>
          <w:lang w:val="vi-VN"/>
        </w:rPr>
        <w:t>ăn bản hướng dẫn liên quan.</w:t>
      </w:r>
    </w:p>
    <w:p w:rsidR="00F82E2D" w:rsidRPr="00120DE5" w:rsidRDefault="00F82E2D" w:rsidP="00106CB7">
      <w:pPr>
        <w:autoSpaceDE w:val="0"/>
        <w:autoSpaceDN w:val="0"/>
        <w:adjustRightInd w:val="0"/>
        <w:spacing w:before="120" w:after="120" w:line="240" w:lineRule="auto"/>
        <w:ind w:firstLine="561"/>
        <w:rPr>
          <w:szCs w:val="28"/>
          <w:lang w:val="vi-VN"/>
        </w:rPr>
      </w:pPr>
      <w:r w:rsidRPr="00120DE5">
        <w:rPr>
          <w:szCs w:val="28"/>
          <w:lang w:val="vi-VN"/>
        </w:rPr>
        <w:t xml:space="preserve">- Kịp thời báo cáo UBND tỉnh (qua </w:t>
      </w:r>
      <w:r w:rsidR="006C052F" w:rsidRPr="00120DE5">
        <w:rPr>
          <w:szCs w:val="28"/>
          <w:lang w:val="vi-VN"/>
        </w:rPr>
        <w:t>Ngân hàng Nhà nước tỉnh</w:t>
      </w:r>
      <w:r w:rsidRPr="00120DE5">
        <w:rPr>
          <w:szCs w:val="28"/>
          <w:lang w:val="vi-VN"/>
        </w:rPr>
        <w:t xml:space="preserve">) kết </w:t>
      </w:r>
      <w:r w:rsidR="006C052F" w:rsidRPr="00120DE5">
        <w:rPr>
          <w:szCs w:val="28"/>
          <w:lang w:val="vi-VN"/>
        </w:rPr>
        <w:t>quả</w:t>
      </w:r>
      <w:r w:rsidRPr="00120DE5">
        <w:rPr>
          <w:szCs w:val="28"/>
          <w:lang w:val="vi-VN"/>
        </w:rPr>
        <w:t xml:space="preserve"> thực hiện, những khó khăn, vướng mắc và kiến nghị xử lý trong quá trình thực hiện </w:t>
      </w:r>
      <w:r w:rsidR="006C052F" w:rsidRPr="00120DE5">
        <w:rPr>
          <w:szCs w:val="28"/>
          <w:lang w:val="vi-VN"/>
        </w:rPr>
        <w:t>Quyết định số</w:t>
      </w:r>
      <w:r w:rsidRPr="00120DE5">
        <w:rPr>
          <w:szCs w:val="28"/>
          <w:lang w:val="vi-VN"/>
        </w:rPr>
        <w:t xml:space="preserve"> 1058, Chỉ thị 06, Quyết định 1533 theo quy định.</w:t>
      </w:r>
    </w:p>
    <w:p w:rsidR="00F82E2D" w:rsidRPr="00120DE5" w:rsidRDefault="00F82E2D" w:rsidP="00106CB7">
      <w:pPr>
        <w:autoSpaceDE w:val="0"/>
        <w:autoSpaceDN w:val="0"/>
        <w:adjustRightInd w:val="0"/>
        <w:spacing w:before="120" w:after="120" w:line="240" w:lineRule="auto"/>
        <w:ind w:firstLine="561"/>
        <w:rPr>
          <w:spacing w:val="2"/>
          <w:szCs w:val="28"/>
          <w:lang w:val="vi-VN"/>
        </w:rPr>
      </w:pPr>
      <w:r w:rsidRPr="00120DE5">
        <w:rPr>
          <w:spacing w:val="2"/>
          <w:szCs w:val="28"/>
          <w:lang w:val="vi-VN"/>
        </w:rPr>
        <w:t xml:space="preserve">- Phối hợp với </w:t>
      </w:r>
      <w:r w:rsidR="006C052F" w:rsidRPr="00120DE5">
        <w:rPr>
          <w:szCs w:val="28"/>
          <w:lang w:val="vi-VN"/>
        </w:rPr>
        <w:t>Ngân hàng Nhà nước tỉnh</w:t>
      </w:r>
      <w:r w:rsidRPr="00120DE5">
        <w:rPr>
          <w:spacing w:val="2"/>
          <w:szCs w:val="28"/>
          <w:lang w:val="vi-VN"/>
        </w:rPr>
        <w:t>trong việc tuyên truyền</w:t>
      </w:r>
      <w:r w:rsidR="006C052F" w:rsidRPr="00120DE5">
        <w:rPr>
          <w:spacing w:val="2"/>
          <w:szCs w:val="28"/>
          <w:lang w:val="vi-VN"/>
        </w:rPr>
        <w:t xml:space="preserve">; </w:t>
      </w:r>
      <w:r w:rsidRPr="00120DE5">
        <w:rPr>
          <w:szCs w:val="28"/>
          <w:lang w:val="vi-VN"/>
        </w:rPr>
        <w:t xml:space="preserve">Chủ động cung cấp thông tin giải pháp chỉ đạo triển khai và kết quả thực hiện </w:t>
      </w:r>
      <w:r w:rsidR="006C052F" w:rsidRPr="00120DE5">
        <w:rPr>
          <w:szCs w:val="28"/>
          <w:lang w:val="vi-VN"/>
        </w:rPr>
        <w:t xml:space="preserve">Quyết định số </w:t>
      </w:r>
      <w:r w:rsidRPr="00120DE5">
        <w:rPr>
          <w:szCs w:val="28"/>
          <w:lang w:val="vi-VN"/>
        </w:rPr>
        <w:t>1058, Chỉ thị 06 và Quyết định 1533 cho các cơ quan thông tấn, báo chí.</w:t>
      </w:r>
    </w:p>
    <w:p w:rsidR="00983ADB" w:rsidRPr="0076430D" w:rsidRDefault="00983ADB" w:rsidP="00106CB7">
      <w:pPr>
        <w:spacing w:before="120" w:after="120" w:line="240" w:lineRule="auto"/>
        <w:ind w:firstLine="567"/>
        <w:rPr>
          <w:b/>
          <w:szCs w:val="28"/>
          <w:lang w:val="vi-VN"/>
        </w:rPr>
      </w:pPr>
      <w:r w:rsidRPr="0076430D">
        <w:rPr>
          <w:b/>
          <w:szCs w:val="28"/>
          <w:lang w:val="vi-VN"/>
        </w:rPr>
        <w:t>2.1</w:t>
      </w:r>
      <w:r w:rsidR="006C052F" w:rsidRPr="0076430D">
        <w:rPr>
          <w:b/>
          <w:szCs w:val="28"/>
          <w:lang w:val="vi-VN"/>
        </w:rPr>
        <w:t>2</w:t>
      </w:r>
      <w:r w:rsidRPr="0076430D">
        <w:rPr>
          <w:b/>
          <w:szCs w:val="28"/>
          <w:lang w:val="vi-VN"/>
        </w:rPr>
        <w:t xml:space="preserve">. Các </w:t>
      </w:r>
      <w:r w:rsidR="00865D5A" w:rsidRPr="0076430D">
        <w:rPr>
          <w:b/>
          <w:szCs w:val="28"/>
          <w:lang w:val="vi-VN"/>
        </w:rPr>
        <w:t>s</w:t>
      </w:r>
      <w:r w:rsidRPr="0076430D">
        <w:rPr>
          <w:b/>
          <w:szCs w:val="28"/>
          <w:lang w:val="vi-VN"/>
        </w:rPr>
        <w:t>ở, ngành liên quan khác</w:t>
      </w:r>
      <w:r w:rsidR="00865D5A" w:rsidRPr="0076430D">
        <w:rPr>
          <w:b/>
          <w:szCs w:val="28"/>
          <w:lang w:val="vi-VN"/>
        </w:rPr>
        <w:t>.</w:t>
      </w:r>
    </w:p>
    <w:p w:rsidR="00983ADB" w:rsidRPr="00120DE5" w:rsidRDefault="00983ADB" w:rsidP="00106CB7">
      <w:pPr>
        <w:spacing w:before="120" w:after="120" w:line="240" w:lineRule="auto"/>
        <w:ind w:firstLine="720"/>
        <w:rPr>
          <w:szCs w:val="28"/>
        </w:rPr>
      </w:pPr>
      <w:r w:rsidRPr="00120DE5">
        <w:rPr>
          <w:szCs w:val="28"/>
        </w:rPr>
        <w:t>Trong phạm vi trách nhiệm của mình, hỗ trợ các tổ chức tín dụng trong việc tái cơ cấu gắn với xử lý nợ xấu giai đoạn 2016-2020 theo quy định tại Nghị quyết số 42 và Quyết định số 1058.</w:t>
      </w:r>
    </w:p>
    <w:p w:rsidR="00983ADB" w:rsidRPr="00120DE5" w:rsidRDefault="00983ADB" w:rsidP="00106CB7">
      <w:pPr>
        <w:spacing w:before="120" w:after="120" w:line="240" w:lineRule="auto"/>
        <w:ind w:firstLine="567"/>
        <w:rPr>
          <w:rFonts w:eastAsia="Times New Roman" w:cs="Times New Roman"/>
          <w:sz w:val="27"/>
          <w:szCs w:val="27"/>
        </w:rPr>
      </w:pPr>
      <w:r w:rsidRPr="00120DE5">
        <w:rPr>
          <w:rFonts w:eastAsia="Times New Roman" w:cs="Times New Roman"/>
          <w:b/>
          <w:bCs/>
          <w:sz w:val="27"/>
          <w:szCs w:val="27"/>
        </w:rPr>
        <w:t>III. TỔ CHỨC THỰC HIỆN</w:t>
      </w:r>
    </w:p>
    <w:p w:rsidR="00983ADB" w:rsidRPr="00120DE5" w:rsidRDefault="00983ADB" w:rsidP="00106CB7">
      <w:pPr>
        <w:spacing w:before="120" w:after="120" w:line="240" w:lineRule="auto"/>
        <w:ind w:firstLine="567"/>
        <w:rPr>
          <w:szCs w:val="28"/>
        </w:rPr>
      </w:pPr>
      <w:r w:rsidRPr="00120DE5">
        <w:rPr>
          <w:szCs w:val="28"/>
        </w:rPr>
        <w:t>1. C</w:t>
      </w:r>
      <w:r w:rsidRPr="00120DE5">
        <w:rPr>
          <w:spacing w:val="-2"/>
          <w:szCs w:val="28"/>
        </w:rPr>
        <w:t xml:space="preserve">ác </w:t>
      </w:r>
      <w:r w:rsidR="00865D5A" w:rsidRPr="00120DE5">
        <w:rPr>
          <w:spacing w:val="-2"/>
          <w:szCs w:val="28"/>
        </w:rPr>
        <w:t>s</w:t>
      </w:r>
      <w:r w:rsidRPr="00120DE5">
        <w:rPr>
          <w:spacing w:val="-2"/>
          <w:szCs w:val="28"/>
        </w:rPr>
        <w:t xml:space="preserve">ở, </w:t>
      </w:r>
      <w:r w:rsidR="00865D5A" w:rsidRPr="00120DE5">
        <w:rPr>
          <w:spacing w:val="-2"/>
          <w:szCs w:val="28"/>
        </w:rPr>
        <w:t>b</w:t>
      </w:r>
      <w:r w:rsidRPr="00120DE5">
        <w:rPr>
          <w:spacing w:val="-2"/>
          <w:szCs w:val="28"/>
        </w:rPr>
        <w:t>an, ngành, cơ quan, đơn vị có liên quan và</w:t>
      </w:r>
      <w:r w:rsidRPr="00120DE5">
        <w:rPr>
          <w:szCs w:val="28"/>
        </w:rPr>
        <w:t xml:space="preserve"> UBND các huyện, thị xã, thành phố </w:t>
      </w:r>
      <w:r w:rsidRPr="00120DE5">
        <w:rPr>
          <w:spacing w:val="-2"/>
          <w:szCs w:val="28"/>
        </w:rPr>
        <w:t xml:space="preserve">có trách nhiệm phối hợp với Ngân hàng Nhà nước tỉnh </w:t>
      </w:r>
      <w:r w:rsidRPr="00120DE5">
        <w:rPr>
          <w:szCs w:val="28"/>
        </w:rPr>
        <w:t>báo cáo kết quả thực hiện Nghị quyết 42, Chỉ thị số 32 và Quyết định số 1058 theo chức năng, nhiệm vụ được giao</w:t>
      </w:r>
      <w:r w:rsidRPr="00120DE5">
        <w:rPr>
          <w:spacing w:val="-2"/>
          <w:szCs w:val="28"/>
        </w:rPr>
        <w:t>.</w:t>
      </w:r>
    </w:p>
    <w:p w:rsidR="00983ADB" w:rsidRPr="00120DE5" w:rsidRDefault="00983ADB" w:rsidP="00106CB7">
      <w:pPr>
        <w:spacing w:before="120" w:after="120" w:line="240" w:lineRule="auto"/>
        <w:ind w:firstLine="567"/>
        <w:rPr>
          <w:i/>
          <w:szCs w:val="28"/>
        </w:rPr>
      </w:pPr>
      <w:r w:rsidRPr="00120DE5">
        <w:rPr>
          <w:szCs w:val="28"/>
        </w:rPr>
        <w:t xml:space="preserve">2. Giao Ngân hàng Nhà nước tỉnh là đầu mối đôn đốc, tổng hợp báo cáo đánh giá tình hình, kết quả triển khai thực hiện Nghị quyết 42, Chỉ thị số 32 và Quyết định số 1058; kịp thời tổng hợp, phản ánh khó khăn, vướng mắc, đề xuất giải pháp </w:t>
      </w:r>
      <w:r w:rsidRPr="00120DE5">
        <w:rPr>
          <w:szCs w:val="28"/>
        </w:rPr>
        <w:lastRenderedPageBreak/>
        <w:t xml:space="preserve">thực hiện của các cơ quan, đơn vị có liên quan trên địa bàn gửi NHNN Việt Nam, UBND tỉnh theo định kỳ </w:t>
      </w:r>
      <w:r w:rsidRPr="00120DE5">
        <w:rPr>
          <w:rFonts w:eastAsia="Times New Roman" w:cs="Times New Roman"/>
          <w:i/>
          <w:szCs w:val="28"/>
        </w:rPr>
        <w:t xml:space="preserve">(trước ngày 25/5 và trước ngày 25/11 hàng năm). </w:t>
      </w:r>
    </w:p>
    <w:p w:rsidR="00D77BB4" w:rsidRDefault="00983ADB" w:rsidP="001C211C">
      <w:pPr>
        <w:spacing w:before="120" w:after="120" w:line="240" w:lineRule="auto"/>
        <w:ind w:firstLine="567"/>
        <w:rPr>
          <w:spacing w:val="2"/>
          <w:szCs w:val="28"/>
          <w:lang w:val="pt-BR"/>
        </w:rPr>
      </w:pPr>
      <w:r w:rsidRPr="00120DE5">
        <w:rPr>
          <w:spacing w:val="2"/>
          <w:szCs w:val="28"/>
          <w:lang w:val="pt-BR"/>
        </w:rPr>
        <w:t xml:space="preserve">UBND tỉnh yêu cầu Giám đốc các </w:t>
      </w:r>
      <w:r w:rsidR="00865D5A" w:rsidRPr="00120DE5">
        <w:rPr>
          <w:spacing w:val="2"/>
          <w:szCs w:val="28"/>
          <w:lang w:val="pt-BR"/>
        </w:rPr>
        <w:t>s</w:t>
      </w:r>
      <w:r w:rsidRPr="00120DE5">
        <w:rPr>
          <w:spacing w:val="2"/>
          <w:szCs w:val="28"/>
          <w:lang w:val="pt-BR"/>
        </w:rPr>
        <w:t xml:space="preserve">ở, Thủ trưởng các </w:t>
      </w:r>
      <w:r w:rsidR="00865D5A" w:rsidRPr="00120DE5">
        <w:rPr>
          <w:spacing w:val="2"/>
          <w:szCs w:val="28"/>
          <w:lang w:val="pt-BR"/>
        </w:rPr>
        <w:t>b</w:t>
      </w:r>
      <w:r w:rsidRPr="00120DE5">
        <w:rPr>
          <w:spacing w:val="2"/>
          <w:szCs w:val="28"/>
          <w:lang w:val="pt-BR"/>
        </w:rPr>
        <w:t xml:space="preserve">an, ngành; Chủ tịch UBND các huyện, thành phố, thị xã và các đơn vị liên quan tổ chức triển khai thực hiện nghiêm túc </w:t>
      </w:r>
      <w:r w:rsidR="00017D5B" w:rsidRPr="00120DE5">
        <w:rPr>
          <w:spacing w:val="2"/>
          <w:szCs w:val="28"/>
          <w:lang w:val="pt-BR"/>
        </w:rPr>
        <w:t>Chương trình</w:t>
      </w:r>
      <w:r w:rsidR="002A091B" w:rsidRPr="00120DE5">
        <w:rPr>
          <w:spacing w:val="2"/>
          <w:szCs w:val="28"/>
          <w:lang w:val="pt-BR"/>
        </w:rPr>
        <w:t xml:space="preserve">hành động </w:t>
      </w:r>
      <w:r w:rsidRPr="00120DE5">
        <w:rPr>
          <w:spacing w:val="2"/>
          <w:szCs w:val="28"/>
          <w:lang w:val="pt-BR"/>
        </w:rPr>
        <w:t>này./.</w:t>
      </w:r>
    </w:p>
    <w:p w:rsidR="001C211C" w:rsidRPr="001C211C" w:rsidRDefault="001C211C" w:rsidP="001C211C">
      <w:pPr>
        <w:spacing w:before="120" w:after="120" w:line="240" w:lineRule="auto"/>
        <w:ind w:firstLine="567"/>
        <w:rPr>
          <w:spacing w:val="2"/>
          <w:sz w:val="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118"/>
      </w:tblGrid>
      <w:tr w:rsidR="00D77BB4" w:rsidRPr="002A091B" w:rsidTr="001C211C">
        <w:tc>
          <w:tcPr>
            <w:tcW w:w="4503" w:type="dxa"/>
          </w:tcPr>
          <w:p w:rsidR="00D77BB4" w:rsidRPr="00535048" w:rsidRDefault="007A23CF" w:rsidP="002A091B">
            <w:pPr>
              <w:spacing w:line="240" w:lineRule="auto"/>
              <w:rPr>
                <w:b/>
                <w:i/>
                <w:spacing w:val="2"/>
                <w:sz w:val="24"/>
                <w:szCs w:val="24"/>
                <w:lang w:val="pt-BR"/>
              </w:rPr>
            </w:pPr>
            <w:r w:rsidRPr="00535048">
              <w:rPr>
                <w:b/>
                <w:i/>
                <w:spacing w:val="2"/>
                <w:sz w:val="24"/>
                <w:szCs w:val="24"/>
                <w:lang w:val="pt-BR"/>
              </w:rPr>
              <w:t>Nơi nhận:</w:t>
            </w:r>
          </w:p>
          <w:p w:rsidR="002A091B" w:rsidRDefault="002A091B" w:rsidP="002A091B">
            <w:pPr>
              <w:spacing w:line="240" w:lineRule="auto"/>
              <w:rPr>
                <w:spacing w:val="2"/>
                <w:sz w:val="22"/>
                <w:lang w:val="pt-BR"/>
              </w:rPr>
            </w:pPr>
            <w:r>
              <w:rPr>
                <w:spacing w:val="2"/>
                <w:sz w:val="22"/>
                <w:lang w:val="pt-BR"/>
              </w:rPr>
              <w:t>- NHNN Việt Nam (</w:t>
            </w:r>
            <w:r w:rsidR="00643D30">
              <w:rPr>
                <w:spacing w:val="2"/>
                <w:sz w:val="22"/>
                <w:lang w:val="pt-BR"/>
              </w:rPr>
              <w:t>B/c</w:t>
            </w:r>
            <w:r>
              <w:rPr>
                <w:spacing w:val="2"/>
                <w:sz w:val="22"/>
                <w:lang w:val="pt-BR"/>
              </w:rPr>
              <w:t>);</w:t>
            </w:r>
          </w:p>
          <w:p w:rsidR="007A23CF" w:rsidRPr="00535048" w:rsidRDefault="007A23CF" w:rsidP="002A091B">
            <w:pPr>
              <w:spacing w:line="240" w:lineRule="auto"/>
              <w:rPr>
                <w:spacing w:val="2"/>
                <w:sz w:val="22"/>
                <w:lang w:val="pt-BR"/>
              </w:rPr>
            </w:pPr>
            <w:r w:rsidRPr="00535048">
              <w:rPr>
                <w:spacing w:val="2"/>
                <w:sz w:val="22"/>
                <w:lang w:val="pt-BR"/>
              </w:rPr>
              <w:t xml:space="preserve">- </w:t>
            </w:r>
            <w:r w:rsidR="00535048" w:rsidRPr="00535048">
              <w:rPr>
                <w:spacing w:val="2"/>
                <w:sz w:val="22"/>
                <w:lang w:val="pt-BR"/>
              </w:rPr>
              <w:t>TTTU, TTHĐND tỉnh</w:t>
            </w:r>
            <w:r w:rsidR="00643D30">
              <w:rPr>
                <w:spacing w:val="2"/>
                <w:sz w:val="22"/>
                <w:lang w:val="pt-BR"/>
              </w:rPr>
              <w:t xml:space="preserve"> (B/c)</w:t>
            </w:r>
            <w:r w:rsidR="00535048" w:rsidRPr="00535048">
              <w:rPr>
                <w:spacing w:val="2"/>
                <w:sz w:val="22"/>
                <w:lang w:val="pt-BR"/>
              </w:rPr>
              <w:t>;</w:t>
            </w:r>
          </w:p>
          <w:p w:rsidR="00535048" w:rsidRPr="00535048" w:rsidRDefault="00535048" w:rsidP="002A091B">
            <w:pPr>
              <w:spacing w:line="240" w:lineRule="auto"/>
              <w:rPr>
                <w:spacing w:val="2"/>
                <w:sz w:val="22"/>
                <w:lang w:val="pt-BR"/>
              </w:rPr>
            </w:pPr>
            <w:r w:rsidRPr="00535048">
              <w:rPr>
                <w:spacing w:val="2"/>
                <w:sz w:val="22"/>
                <w:lang w:val="pt-BR"/>
              </w:rPr>
              <w:t>- CT, các PCT UBND tỉnh</w:t>
            </w:r>
            <w:r w:rsidR="00643D30">
              <w:rPr>
                <w:spacing w:val="2"/>
                <w:sz w:val="22"/>
                <w:lang w:val="pt-BR"/>
              </w:rPr>
              <w:t xml:space="preserve"> (B/c)</w:t>
            </w:r>
            <w:r w:rsidRPr="00535048">
              <w:rPr>
                <w:spacing w:val="2"/>
                <w:sz w:val="22"/>
                <w:lang w:val="pt-BR"/>
              </w:rPr>
              <w:t>;</w:t>
            </w:r>
          </w:p>
          <w:p w:rsidR="007A23CF" w:rsidRPr="00535048" w:rsidRDefault="007A23CF" w:rsidP="002A091B">
            <w:pPr>
              <w:spacing w:line="240" w:lineRule="auto"/>
              <w:rPr>
                <w:spacing w:val="2"/>
                <w:sz w:val="22"/>
                <w:lang w:val="pt-BR"/>
              </w:rPr>
            </w:pPr>
            <w:r w:rsidRPr="00535048">
              <w:rPr>
                <w:spacing w:val="2"/>
                <w:sz w:val="22"/>
                <w:lang w:val="pt-BR"/>
              </w:rPr>
              <w:t>- Các sở, ban, ngành cấp tỉnh</w:t>
            </w:r>
            <w:r w:rsidR="002A091B">
              <w:rPr>
                <w:spacing w:val="2"/>
                <w:sz w:val="22"/>
                <w:lang w:val="pt-BR"/>
              </w:rPr>
              <w:t xml:space="preserve"> liên quan</w:t>
            </w:r>
            <w:r w:rsidRPr="00535048">
              <w:rPr>
                <w:spacing w:val="2"/>
                <w:sz w:val="22"/>
                <w:lang w:val="pt-BR"/>
              </w:rPr>
              <w:t>;</w:t>
            </w:r>
          </w:p>
          <w:p w:rsidR="00535048" w:rsidRPr="00535048" w:rsidRDefault="00535048" w:rsidP="002A091B">
            <w:pPr>
              <w:spacing w:line="240" w:lineRule="auto"/>
              <w:rPr>
                <w:spacing w:val="2"/>
                <w:sz w:val="22"/>
                <w:lang w:val="pt-BR"/>
              </w:rPr>
            </w:pPr>
            <w:r w:rsidRPr="00535048">
              <w:rPr>
                <w:spacing w:val="2"/>
                <w:sz w:val="22"/>
                <w:lang w:val="pt-BR"/>
              </w:rPr>
              <w:t>- NHNN, các TCTD trên địa bàn tỉnh;</w:t>
            </w:r>
          </w:p>
          <w:p w:rsidR="00535048" w:rsidRDefault="00535048" w:rsidP="002A091B">
            <w:pPr>
              <w:spacing w:line="240" w:lineRule="auto"/>
              <w:rPr>
                <w:spacing w:val="2"/>
                <w:sz w:val="22"/>
                <w:lang w:val="pt-BR"/>
              </w:rPr>
            </w:pPr>
            <w:r w:rsidRPr="00535048">
              <w:rPr>
                <w:spacing w:val="2"/>
                <w:sz w:val="22"/>
                <w:lang w:val="pt-BR"/>
              </w:rPr>
              <w:t>- UBND các huyện, thị xã, thành phố;</w:t>
            </w:r>
          </w:p>
          <w:p w:rsidR="002A091B" w:rsidRPr="0017589E" w:rsidRDefault="002A091B" w:rsidP="002A091B">
            <w:pPr>
              <w:tabs>
                <w:tab w:val="center" w:pos="4320"/>
                <w:tab w:val="right" w:pos="8640"/>
              </w:tabs>
              <w:autoSpaceDE w:val="0"/>
              <w:autoSpaceDN w:val="0"/>
              <w:adjustRightInd w:val="0"/>
              <w:spacing w:line="240" w:lineRule="auto"/>
              <w:rPr>
                <w:sz w:val="22"/>
                <w:lang w:val="vi-VN"/>
              </w:rPr>
            </w:pPr>
            <w:r w:rsidRPr="0017589E">
              <w:rPr>
                <w:sz w:val="22"/>
                <w:lang w:val="vi-VN"/>
              </w:rPr>
              <w:t xml:space="preserve">- </w:t>
            </w:r>
            <w:r w:rsidR="00643D30">
              <w:rPr>
                <w:sz w:val="22"/>
              </w:rPr>
              <w:t xml:space="preserve">LĐVP </w:t>
            </w:r>
            <w:r w:rsidR="00643D30">
              <w:rPr>
                <w:sz w:val="22"/>
                <w:lang w:val="vi-VN"/>
              </w:rPr>
              <w:t>UBND</w:t>
            </w:r>
            <w:r w:rsidRPr="0017589E">
              <w:rPr>
                <w:sz w:val="22"/>
                <w:lang w:val="vi-VN"/>
              </w:rPr>
              <w:t>tỉnh;</w:t>
            </w:r>
          </w:p>
          <w:p w:rsidR="002A091B" w:rsidRPr="0017589E" w:rsidRDefault="002A091B" w:rsidP="002A091B">
            <w:pPr>
              <w:tabs>
                <w:tab w:val="center" w:pos="4320"/>
                <w:tab w:val="right" w:pos="8640"/>
              </w:tabs>
              <w:autoSpaceDE w:val="0"/>
              <w:autoSpaceDN w:val="0"/>
              <w:adjustRightInd w:val="0"/>
              <w:spacing w:line="240" w:lineRule="auto"/>
              <w:rPr>
                <w:sz w:val="22"/>
                <w:lang w:val="vi-VN"/>
              </w:rPr>
            </w:pPr>
            <w:r w:rsidRPr="0017589E">
              <w:rPr>
                <w:sz w:val="22"/>
                <w:lang w:val="vi-VN"/>
              </w:rPr>
              <w:t>- Đài PTTH, Báo Quảng Bình;</w:t>
            </w:r>
          </w:p>
          <w:p w:rsidR="002A091B" w:rsidRPr="0017589E" w:rsidRDefault="002A091B" w:rsidP="002A091B">
            <w:pPr>
              <w:tabs>
                <w:tab w:val="center" w:pos="4320"/>
                <w:tab w:val="right" w:pos="8640"/>
              </w:tabs>
              <w:autoSpaceDE w:val="0"/>
              <w:autoSpaceDN w:val="0"/>
              <w:adjustRightInd w:val="0"/>
              <w:spacing w:line="240" w:lineRule="auto"/>
              <w:rPr>
                <w:sz w:val="22"/>
                <w:lang w:val="vi-VN"/>
              </w:rPr>
            </w:pPr>
            <w:r w:rsidRPr="0017589E">
              <w:rPr>
                <w:sz w:val="22"/>
                <w:lang w:val="vi-VN"/>
              </w:rPr>
              <w:t>- Cổng Thông tin điện tử tỉnh;</w:t>
            </w:r>
          </w:p>
          <w:p w:rsidR="00535048" w:rsidRDefault="00535048" w:rsidP="00643D30">
            <w:pPr>
              <w:spacing w:line="240" w:lineRule="auto"/>
              <w:rPr>
                <w:spacing w:val="2"/>
                <w:szCs w:val="28"/>
                <w:lang w:val="pt-BR"/>
              </w:rPr>
            </w:pPr>
            <w:r w:rsidRPr="00535048">
              <w:rPr>
                <w:spacing w:val="2"/>
                <w:sz w:val="22"/>
                <w:lang w:val="pt-BR"/>
              </w:rPr>
              <w:t xml:space="preserve">- Lưu VT, </w:t>
            </w:r>
            <w:r w:rsidR="00643D30">
              <w:rPr>
                <w:spacing w:val="2"/>
                <w:sz w:val="22"/>
                <w:lang w:val="pt-BR"/>
              </w:rPr>
              <w:t>KTTH.</w:t>
            </w:r>
          </w:p>
        </w:tc>
        <w:tc>
          <w:tcPr>
            <w:tcW w:w="5118" w:type="dxa"/>
          </w:tcPr>
          <w:p w:rsidR="00D77BB4" w:rsidRPr="00535048" w:rsidRDefault="00535048" w:rsidP="00535048">
            <w:pPr>
              <w:spacing w:line="240" w:lineRule="auto"/>
              <w:jc w:val="center"/>
              <w:rPr>
                <w:b/>
                <w:spacing w:val="2"/>
                <w:sz w:val="27"/>
                <w:szCs w:val="27"/>
                <w:lang w:val="pt-BR"/>
              </w:rPr>
            </w:pPr>
            <w:r w:rsidRPr="00535048">
              <w:rPr>
                <w:b/>
                <w:spacing w:val="2"/>
                <w:sz w:val="27"/>
                <w:szCs w:val="27"/>
                <w:lang w:val="pt-BR"/>
              </w:rPr>
              <w:t>TM. ỦY BAN NHÂN DÂN</w:t>
            </w:r>
          </w:p>
          <w:p w:rsidR="00535048" w:rsidRPr="00535048" w:rsidRDefault="00535048" w:rsidP="00535048">
            <w:pPr>
              <w:spacing w:line="240" w:lineRule="auto"/>
              <w:jc w:val="center"/>
              <w:rPr>
                <w:b/>
                <w:spacing w:val="2"/>
                <w:sz w:val="27"/>
                <w:szCs w:val="27"/>
                <w:lang w:val="pt-BR"/>
              </w:rPr>
            </w:pPr>
            <w:r w:rsidRPr="00535048">
              <w:rPr>
                <w:b/>
                <w:spacing w:val="2"/>
                <w:sz w:val="27"/>
                <w:szCs w:val="27"/>
                <w:lang w:val="pt-BR"/>
              </w:rPr>
              <w:t>KT. CHỦ TỊCH</w:t>
            </w:r>
          </w:p>
          <w:p w:rsidR="00535048" w:rsidRPr="00535048" w:rsidRDefault="00535048" w:rsidP="00535048">
            <w:pPr>
              <w:spacing w:line="240" w:lineRule="auto"/>
              <w:jc w:val="center"/>
              <w:rPr>
                <w:b/>
                <w:spacing w:val="2"/>
                <w:sz w:val="27"/>
                <w:szCs w:val="27"/>
                <w:lang w:val="pt-BR"/>
              </w:rPr>
            </w:pPr>
            <w:r w:rsidRPr="00535048">
              <w:rPr>
                <w:b/>
                <w:spacing w:val="2"/>
                <w:sz w:val="27"/>
                <w:szCs w:val="27"/>
                <w:lang w:val="pt-BR"/>
              </w:rPr>
              <w:t>PHÓ CHỦ TỊCH</w:t>
            </w:r>
          </w:p>
          <w:p w:rsidR="00535048" w:rsidRPr="00535048" w:rsidRDefault="00535048" w:rsidP="00535048">
            <w:pPr>
              <w:spacing w:line="240" w:lineRule="auto"/>
              <w:jc w:val="center"/>
              <w:rPr>
                <w:b/>
                <w:spacing w:val="2"/>
                <w:sz w:val="27"/>
                <w:szCs w:val="27"/>
                <w:lang w:val="pt-BR"/>
              </w:rPr>
            </w:pPr>
          </w:p>
          <w:p w:rsidR="00535048" w:rsidRPr="00535048" w:rsidRDefault="00535048" w:rsidP="00535048">
            <w:pPr>
              <w:spacing w:line="240" w:lineRule="auto"/>
              <w:jc w:val="center"/>
              <w:rPr>
                <w:b/>
                <w:spacing w:val="2"/>
                <w:sz w:val="27"/>
                <w:szCs w:val="27"/>
                <w:lang w:val="pt-BR"/>
              </w:rPr>
            </w:pPr>
          </w:p>
          <w:p w:rsidR="00535048" w:rsidRPr="00535048" w:rsidRDefault="00535048" w:rsidP="00535048">
            <w:pPr>
              <w:spacing w:line="240" w:lineRule="auto"/>
              <w:jc w:val="center"/>
              <w:rPr>
                <w:b/>
                <w:spacing w:val="2"/>
                <w:sz w:val="27"/>
                <w:szCs w:val="27"/>
                <w:lang w:val="pt-BR"/>
              </w:rPr>
            </w:pPr>
          </w:p>
          <w:p w:rsidR="00535048" w:rsidRPr="00535048" w:rsidRDefault="008653A0" w:rsidP="00535048">
            <w:pPr>
              <w:spacing w:line="240" w:lineRule="auto"/>
              <w:jc w:val="center"/>
              <w:rPr>
                <w:b/>
                <w:spacing w:val="2"/>
                <w:sz w:val="27"/>
                <w:szCs w:val="27"/>
                <w:lang w:val="pt-BR"/>
              </w:rPr>
            </w:pPr>
            <w:r>
              <w:rPr>
                <w:b/>
                <w:spacing w:val="2"/>
                <w:sz w:val="27"/>
                <w:szCs w:val="27"/>
                <w:lang w:val="pt-BR"/>
              </w:rPr>
              <w:t>Đã ký</w:t>
            </w:r>
            <w:bookmarkStart w:id="0" w:name="_GoBack"/>
            <w:bookmarkEnd w:id="0"/>
          </w:p>
          <w:p w:rsidR="00535048" w:rsidRPr="00535048" w:rsidRDefault="00535048" w:rsidP="00535048">
            <w:pPr>
              <w:spacing w:line="240" w:lineRule="auto"/>
              <w:jc w:val="center"/>
              <w:rPr>
                <w:b/>
                <w:spacing w:val="2"/>
                <w:sz w:val="27"/>
                <w:szCs w:val="27"/>
                <w:lang w:val="pt-BR"/>
              </w:rPr>
            </w:pPr>
          </w:p>
          <w:p w:rsidR="00535048" w:rsidRPr="00535048" w:rsidRDefault="00535048" w:rsidP="00535048">
            <w:pPr>
              <w:spacing w:line="240" w:lineRule="auto"/>
              <w:jc w:val="center"/>
              <w:rPr>
                <w:b/>
                <w:spacing w:val="2"/>
                <w:sz w:val="27"/>
                <w:szCs w:val="27"/>
                <w:lang w:val="pt-BR"/>
              </w:rPr>
            </w:pPr>
          </w:p>
          <w:p w:rsidR="00535048" w:rsidRPr="00535048" w:rsidRDefault="00535048" w:rsidP="00535048">
            <w:pPr>
              <w:spacing w:line="240" w:lineRule="auto"/>
              <w:jc w:val="center"/>
              <w:rPr>
                <w:b/>
                <w:spacing w:val="2"/>
                <w:szCs w:val="28"/>
                <w:lang w:val="pt-BR"/>
              </w:rPr>
            </w:pPr>
            <w:r w:rsidRPr="00535048">
              <w:rPr>
                <w:b/>
                <w:spacing w:val="2"/>
                <w:sz w:val="27"/>
                <w:szCs w:val="27"/>
                <w:lang w:val="pt-BR"/>
              </w:rPr>
              <w:t>Nguyễn Xuân Quang</w:t>
            </w:r>
          </w:p>
        </w:tc>
      </w:tr>
    </w:tbl>
    <w:p w:rsidR="00D77BB4" w:rsidRDefault="00D77BB4" w:rsidP="00535048">
      <w:pPr>
        <w:spacing w:before="120" w:after="120" w:line="240" w:lineRule="auto"/>
        <w:rPr>
          <w:spacing w:val="2"/>
          <w:szCs w:val="28"/>
          <w:lang w:val="pt-BR"/>
        </w:rPr>
      </w:pPr>
    </w:p>
    <w:sectPr w:rsidR="00D77BB4" w:rsidSect="007F5A85">
      <w:footerReference w:type="default" r:id="rId7"/>
      <w:pgSz w:w="12240" w:h="15840"/>
      <w:pgMar w:top="794" w:right="1021" w:bottom="567" w:left="1814" w:header="720" w:footer="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8A0" w:rsidRDefault="00B058A0" w:rsidP="00C17677">
      <w:pPr>
        <w:spacing w:line="240" w:lineRule="auto"/>
      </w:pPr>
      <w:r>
        <w:separator/>
      </w:r>
    </w:p>
  </w:endnote>
  <w:endnote w:type="continuationSeparator" w:id="1">
    <w:p w:rsidR="00B058A0" w:rsidRDefault="00B058A0" w:rsidP="00C176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967"/>
      <w:docPartObj>
        <w:docPartGallery w:val="Page Numbers (Bottom of Page)"/>
        <w:docPartUnique/>
      </w:docPartObj>
    </w:sdtPr>
    <w:sdtContent>
      <w:p w:rsidR="0016249D" w:rsidRDefault="00B57E40">
        <w:pPr>
          <w:pStyle w:val="Footer"/>
          <w:jc w:val="center"/>
        </w:pPr>
        <w:r>
          <w:fldChar w:fldCharType="begin"/>
        </w:r>
        <w:r w:rsidR="003C34C6">
          <w:instrText xml:space="preserve"> PAGE   \* MERGEFORMAT </w:instrText>
        </w:r>
        <w:r>
          <w:fldChar w:fldCharType="separate"/>
        </w:r>
        <w:r w:rsidR="00273DC3">
          <w:rPr>
            <w:noProof/>
          </w:rPr>
          <w:t>1</w:t>
        </w:r>
        <w:r>
          <w:rPr>
            <w:noProof/>
          </w:rPr>
          <w:fldChar w:fldCharType="end"/>
        </w:r>
      </w:p>
    </w:sdtContent>
  </w:sdt>
  <w:p w:rsidR="0016249D" w:rsidRDefault="00162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8A0" w:rsidRDefault="00B058A0" w:rsidP="00C17677">
      <w:pPr>
        <w:spacing w:line="240" w:lineRule="auto"/>
      </w:pPr>
      <w:r>
        <w:separator/>
      </w:r>
    </w:p>
  </w:footnote>
  <w:footnote w:type="continuationSeparator" w:id="1">
    <w:p w:rsidR="00B058A0" w:rsidRDefault="00B058A0" w:rsidP="00C1767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defaultTabStop w:val="720"/>
  <w:drawingGridHorizontalSpacing w:val="135"/>
  <w:drawingGridVerticalSpacing w:val="367"/>
  <w:displayHorizontalDrawingGridEvery w:val="2"/>
  <w:characterSpacingControl w:val="doNotCompress"/>
  <w:footnotePr>
    <w:footnote w:id="0"/>
    <w:footnote w:id="1"/>
  </w:footnotePr>
  <w:endnotePr>
    <w:endnote w:id="0"/>
    <w:endnote w:id="1"/>
  </w:endnotePr>
  <w:compat/>
  <w:rsids>
    <w:rsidRoot w:val="00983ADB"/>
    <w:rsid w:val="00014956"/>
    <w:rsid w:val="00017D5B"/>
    <w:rsid w:val="0002745A"/>
    <w:rsid w:val="00036BDB"/>
    <w:rsid w:val="00077C6A"/>
    <w:rsid w:val="000A1348"/>
    <w:rsid w:val="00100366"/>
    <w:rsid w:val="00106CB7"/>
    <w:rsid w:val="00120DE5"/>
    <w:rsid w:val="00156ECD"/>
    <w:rsid w:val="0016249D"/>
    <w:rsid w:val="0019353D"/>
    <w:rsid w:val="001C211C"/>
    <w:rsid w:val="002141A6"/>
    <w:rsid w:val="00273DC3"/>
    <w:rsid w:val="00292670"/>
    <w:rsid w:val="002A091B"/>
    <w:rsid w:val="002A4AD7"/>
    <w:rsid w:val="002B11B3"/>
    <w:rsid w:val="002C12DD"/>
    <w:rsid w:val="002F3B45"/>
    <w:rsid w:val="003011AF"/>
    <w:rsid w:val="003374D0"/>
    <w:rsid w:val="00351758"/>
    <w:rsid w:val="00361E21"/>
    <w:rsid w:val="00392C1F"/>
    <w:rsid w:val="003A4A83"/>
    <w:rsid w:val="003B031A"/>
    <w:rsid w:val="003C34C6"/>
    <w:rsid w:val="003C76FD"/>
    <w:rsid w:val="003E1D7B"/>
    <w:rsid w:val="00432944"/>
    <w:rsid w:val="00470A41"/>
    <w:rsid w:val="00487F85"/>
    <w:rsid w:val="004D3D87"/>
    <w:rsid w:val="005345D2"/>
    <w:rsid w:val="00535048"/>
    <w:rsid w:val="005A4C94"/>
    <w:rsid w:val="006132CE"/>
    <w:rsid w:val="0062688D"/>
    <w:rsid w:val="00643D30"/>
    <w:rsid w:val="006511A5"/>
    <w:rsid w:val="00684B13"/>
    <w:rsid w:val="006C052F"/>
    <w:rsid w:val="006D4326"/>
    <w:rsid w:val="006F0939"/>
    <w:rsid w:val="0076430D"/>
    <w:rsid w:val="0076676A"/>
    <w:rsid w:val="007667B4"/>
    <w:rsid w:val="00773BAF"/>
    <w:rsid w:val="007A23CF"/>
    <w:rsid w:val="007C301C"/>
    <w:rsid w:val="007F5A85"/>
    <w:rsid w:val="008020D2"/>
    <w:rsid w:val="008653A0"/>
    <w:rsid w:val="00865D5A"/>
    <w:rsid w:val="008B6A99"/>
    <w:rsid w:val="008B7241"/>
    <w:rsid w:val="008D0AAB"/>
    <w:rsid w:val="008E735E"/>
    <w:rsid w:val="00901BD0"/>
    <w:rsid w:val="009142E4"/>
    <w:rsid w:val="0092776C"/>
    <w:rsid w:val="00963E31"/>
    <w:rsid w:val="0098139A"/>
    <w:rsid w:val="00983ADB"/>
    <w:rsid w:val="009D4A00"/>
    <w:rsid w:val="009D51C9"/>
    <w:rsid w:val="009E5F6D"/>
    <w:rsid w:val="00A36B30"/>
    <w:rsid w:val="00A67E44"/>
    <w:rsid w:val="00AF217B"/>
    <w:rsid w:val="00B058A0"/>
    <w:rsid w:val="00B262FA"/>
    <w:rsid w:val="00B43F7C"/>
    <w:rsid w:val="00B57E40"/>
    <w:rsid w:val="00B814DE"/>
    <w:rsid w:val="00B81FAB"/>
    <w:rsid w:val="00BC1843"/>
    <w:rsid w:val="00BF50A0"/>
    <w:rsid w:val="00C17677"/>
    <w:rsid w:val="00C542C1"/>
    <w:rsid w:val="00C62E74"/>
    <w:rsid w:val="00C63E98"/>
    <w:rsid w:val="00C91FA4"/>
    <w:rsid w:val="00D11B43"/>
    <w:rsid w:val="00D2715C"/>
    <w:rsid w:val="00D37B4D"/>
    <w:rsid w:val="00D41541"/>
    <w:rsid w:val="00D74F69"/>
    <w:rsid w:val="00D77BB4"/>
    <w:rsid w:val="00DB47A8"/>
    <w:rsid w:val="00DB6955"/>
    <w:rsid w:val="00E35970"/>
    <w:rsid w:val="00E8306A"/>
    <w:rsid w:val="00E86D2B"/>
    <w:rsid w:val="00EA7FA4"/>
    <w:rsid w:val="00EE4581"/>
    <w:rsid w:val="00F82E2D"/>
    <w:rsid w:val="00F963F3"/>
    <w:rsid w:val="00FA7964"/>
    <w:rsid w:val="00FD6CFA"/>
    <w:rsid w:val="00FE1A40"/>
    <w:rsid w:val="00FF79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7"/>
        <w:szCs w:val="27"/>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DB"/>
    <w:pPr>
      <w:spacing w:line="276" w:lineRule="auto"/>
    </w:pPr>
    <w:rPr>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3ADB"/>
    <w:pPr>
      <w:tabs>
        <w:tab w:val="center" w:pos="4680"/>
        <w:tab w:val="right" w:pos="9360"/>
      </w:tabs>
      <w:spacing w:line="240" w:lineRule="auto"/>
    </w:pPr>
  </w:style>
  <w:style w:type="character" w:customStyle="1" w:styleId="FooterChar">
    <w:name w:val="Footer Char"/>
    <w:basedOn w:val="DefaultParagraphFont"/>
    <w:link w:val="Footer"/>
    <w:uiPriority w:val="99"/>
    <w:rsid w:val="00983ADB"/>
    <w:rPr>
      <w:sz w:val="28"/>
      <w:szCs w:val="22"/>
      <w:lang w:val="en-US"/>
    </w:rPr>
  </w:style>
  <w:style w:type="table" w:styleId="TableGrid">
    <w:name w:val="Table Grid"/>
    <w:basedOn w:val="TableNormal"/>
    <w:uiPriority w:val="59"/>
    <w:rsid w:val="007F5A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2BA0-BCA0-47DD-B405-D10EAC2B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2017-11-16T06:39:00Z</cp:lastPrinted>
  <dcterms:created xsi:type="dcterms:W3CDTF">2017-11-21T09:01:00Z</dcterms:created>
  <dcterms:modified xsi:type="dcterms:W3CDTF">2017-11-21T09:01:00Z</dcterms:modified>
</cp:coreProperties>
</file>