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268"/>
        <w:gridCol w:w="6020"/>
      </w:tblGrid>
      <w:tr>
        <w:trPr>
          <w:trHeight w:val="1" w:hRule="atLeast"/>
          <w:jc w:val="left"/>
        </w:trPr>
        <w:tc>
          <w:tcPr>
            <w:tcW w:w="3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TỈNH QUẢNG BÌNH</w:t>
            </w:r>
          </w:p>
        </w:tc>
        <w:tc>
          <w:tcPr>
            <w:tcW w:w="6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Độc lập - Tự do - Hạnh phúc</w:t>
            </w:r>
          </w:p>
        </w:tc>
      </w:tr>
      <w:tr>
        <w:trPr>
          <w:trHeight w:val="1" w:hRule="atLeast"/>
          <w:jc w:val="left"/>
        </w:trPr>
        <w:tc>
          <w:tcPr>
            <w:tcW w:w="3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Số:  1465  /Q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Đ-UBND</w:t>
            </w:r>
          </w:p>
        </w:tc>
        <w:tc>
          <w:tcPr>
            <w:tcW w:w="6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7"/>
                <w:shd w:fill="auto" w:val="clear"/>
              </w:rPr>
              <w:t xml:space="preserve">       Quảng Bình, ngày     15  tháng   5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7"/>
                <w:shd w:fill="auto" w:val="clear"/>
              </w:rPr>
              <w:t xml:space="preserve">ăm 2017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Về việc chuyển mục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đích sử dụng đất v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à cho Công ty TNHH Th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ương mại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Vận tải Bình H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ường thuê đất để xây dựng Cửa hàng xăng dầu Tam Hương</w:t>
        <w:br/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tại xã Phú Thủy, huyện Lệ Thủy</w:t>
      </w:r>
    </w:p>
    <w:p>
      <w:pPr>
        <w:spacing w:before="36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UỶ BAN NHÂN DÂN TỈNH QUẢNG BÌNH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Tổ chức chính quyền địa phương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19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Đất đai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29 tháng 11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2013;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43/2014/NĐ-CP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chi tiết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một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của Luật Đất đai;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44/2014/NĐ-CP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về giá đất;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ăn cứ Nghị định số 01/2017/NĐ-CP 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ày 06 tháng 01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ăm 2017 của Chính phủ sửa đổi, bổ sung một số Nghị định quy định chi tiết thi 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ành Luật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Đất đai;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35/2017/NĐ-CP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13 tháng 4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 của Chính phủ về quản lý, sử dụng đất trồng lúa;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số 30/2014/TT-BTNMT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giao đất, cho thuê đất, chuyển mục đích sử dụng đất, thu hồi đất;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tịch số 88/2016/TTLT/BTC-BTNMT ngày 22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chính, Bộ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và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tự, thủ tục tiếp nhận, luân chuyển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xác định nghĩa vụ tài chính về đất đai của người sử dụng đất;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quyết số 22/NQ-HĐND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08 tháng 12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Hội đồng nhân dân tỉnh về việc thông qua kế hoạch thu hồi đất; chuyển mục đích sử dụng đất năm 2017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tỉnh Quảng Bình;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Quyết định số 4266/QĐ-UBND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31 tháng 12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Uỷ ban nhân dân tỉnh Quảng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về việc phê duyệt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chỉnh quy hoạch sử dụng đất đến năm 2020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kế hoạch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năm 2017 huyện Lệ Thủy;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Quyết định chủ trương đầu tư số 3064/QĐ-UBND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05 tháng 10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Ủy ban nhân dân tỉnh Quảng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về việc thực hiện dự 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đầu tư: Cửa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àng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ăng dầu Tam Hương của Công ty TNHH Thương mại Vận tải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của Giám đốc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tại Tờ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số: 246/TTr-STNMT ngày 12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2017,                                               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1. 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1. Chuyển mục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đích sử dụng 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2.023,0 m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(Hai ngh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ìn không tr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ăm hai mươi ba mét vuông)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đất nông nghiệp (đất chuy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ên trồng lúa 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ước) tại x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ã Phú Thủy, huyện Lệ Thủy sang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đất phi nông nghiệp theo quy hoạch, kế hoạch đ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được ph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ê duyệt. 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Cho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Công ty TNHH Th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ương mại Vận tải 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(địa chỉ: thôn Áng Sơn,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Vạn Ninh, huyện Quảng Ninh, tỉnh Quảng Bình) thuê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2.023,0 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8"/>
          <w:shd w:fill="auto" w:val="clear"/>
        </w:rPr>
        <w:t xml:space="preserve">(Hai nghìn không tr</w:t>
      </w:r>
      <w:r>
        <w:rPr>
          <w:rFonts w:ascii="Times New Roman" w:hAnsi="Times New Roman" w:cs="Times New Roman" w:eastAsia="Times New Roman"/>
          <w:i/>
          <w:color w:val="auto"/>
          <w:spacing w:val="-2"/>
          <w:position w:val="0"/>
          <w:sz w:val="28"/>
          <w:shd w:fill="auto" w:val="clear"/>
        </w:rPr>
        <w:t xml:space="preserve">ăm hai mươi ba mét vuông)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chuyển mục đích tại khoản 1 Điều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(trong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đó có 401,3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thuộc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lang bảo vệ an toàn giao thông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đường bộ) để sử dụng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mục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đích đất thương mại, dịch vụ (Xây dựng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Cửa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àng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ăng dầu Tam Hương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Vị trí, kích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ước, ranh giới khu đất được xác định theo kết quả chỉnh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chính thửa đất số 503 thuộc tờ bản đồ địa chính số 21,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Phú Thủy do Công ty TNHH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vấn khảo sát - thiết kế Hoành Sơn lập ngày 08/5/2017, Sở Tài nguyên và Môi trường duyệt ngày 09/5/2017, kèm theo Quyết định này.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Thời hạn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Đến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05 tháng 10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2066.</w:t>
      </w:r>
    </w:p>
    <w:p>
      <w:pPr>
        <w:tabs>
          <w:tab w:val="left" w:pos="6720" w:leader="none"/>
        </w:tabs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Hình thức thuê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cho thuê đất trả tiền trả tiền một lần cho cả thời gian thuê.</w:t>
        <w:tab/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Giao nhiệm vụ cho các cơ quan, tổ chức thực hiện các công việc sau đây: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nhiệm: 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Chủ trì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phương pháp định giá đất cụ thể để tính tiền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Trường hợp áp dụng phương pháp so sánh trực tiếp, thu nhập, chiết trừ, thặng dư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tổ chức lập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án giá đất gửi Hội đồng thẩm định giá đất tỉnh để thẩm định,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 Ủy ban nhân dân tỉnh phê duyệt giá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cụ thể; Trường hợp áp dụng phương pháp hệ số điều chỉnh giá đất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chỉ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chuyển thông tin địa chính để Cục Thuế xác định nghĩa vụ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cho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Công ty TNHH Th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ương mại Vận tải 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Thông báo cho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Công ty TNHH Th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ương mại Vận tải 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nộp phí và lệ phí theo quy định của pháp luật;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xác định cụ thể mốc giới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bàn giao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thực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địa; trao Giấy chứng nhận quyền sử dụng đất, quyền sở hữu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ở và tài sản khác gắn liền với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cho Công ty TNHH Thương mại Vận tải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sau khi đơn vị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hoàn thành nghĩa vụ tài chính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định; tổ chức chỉnh lý hồ sơ địa chính.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Sở Tài chính tham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ưu UBND tỉnh quyết định số tiền Công ty TNHH Thương mại Vận tải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phải nộp để bảo vệ, phát triển đất trồng lúa khi chuyển mục đích 2.023,0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đất chuyên trồng lúa nước sang mục đích phi nông nghiệp.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Cục Thuế tỉnh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các khoản nghĩa vụ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và thông báo cho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Công ty TNHH Th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ương mại Vận tải 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thực hiện theo quy định của pháp luật.</w:t>
      </w:r>
    </w:p>
    <w:p>
      <w:pPr>
        <w:spacing w:before="4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Đối với phần diện tích đất nằm trong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lang an toàn giao thông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đường bộ,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êu cầu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Công ty TNHH Th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ương mại Vận tải 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thực hiện đúng quy định về hành lang bảo vệ an toàn đường bộ, không được phép xây dựng công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đầu tư các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sản khác làm ảnh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ưởng đến an toàn giao thông và bảo vệ công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đường bộ.</w:t>
      </w:r>
    </w:p>
    <w:p>
      <w:pPr>
        <w:spacing w:before="4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 chỉnh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địa chính theo quy định.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có hiệu lực kể từ ngày ký.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Chánh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UBND tỉnh, Giám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đốc các Sở: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ường, Tài chính, Xây dựng; Cục trưởng Cục thuế; Chủ tịch UBND huyện Lệ Thủy; Chủ tịch UBND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Phú Thủy; Giám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đốc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ường; Giám đốc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Công ty TNHH Thương mại Vận tải 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và Thủ trưởng các sở, ban, ngành có liên quan chịu trách nhiệm thi hành quyết định này.</w:t>
      </w:r>
    </w:p>
    <w:p>
      <w:pPr>
        <w:spacing w:before="0" w:after="24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UBND tỉnh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đưa 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lên Cổng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tử của UBND tỉnh./.</w:t>
      </w:r>
    </w:p>
    <w:tbl>
      <w:tblPr/>
      <w:tblGrid>
        <w:gridCol w:w="4660"/>
        <w:gridCol w:w="4628"/>
      </w:tblGrid>
      <w:tr>
        <w:trPr>
          <w:trHeight w:val="1526" w:hRule="auto"/>
          <w:jc w:val="left"/>
        </w:trPr>
        <w:tc>
          <w:tcPr>
            <w:tcW w:w="4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Điều 3;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CT, các PCT UBND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Trung tâm THCB – VPUBND tỉnh;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 VT, CVTNMT.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</w:t>
            </w:r>
          </w:p>
        </w:tc>
        <w:tc>
          <w:tcPr>
            <w:tcW w:w="4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TM. 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KT.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PHÓ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Đã ký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Lê Minh Ngân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.VnTime" w:hAnsi=".VnTime" w:cs=".VnTime" w:eastAsia=".VnTime"/>
          <w:color w:val="FF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