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27"/>
        <w:gridCol w:w="6095"/>
      </w:tblGrid>
      <w:tr w:rsidR="002464E9">
        <w:tblPrEx>
          <w:tblCellMar>
            <w:top w:w="0" w:type="dxa"/>
            <w:bottom w:w="0" w:type="dxa"/>
          </w:tblCellMar>
        </w:tblPrEx>
        <w:trPr>
          <w:trHeight w:val="1079"/>
        </w:trPr>
        <w:tc>
          <w:tcPr>
            <w:tcW w:w="32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3F1639">
            <w:pPr>
              <w:spacing w:after="0" w:line="240" w:lineRule="auto"/>
              <w:ind w:right="40"/>
              <w:jc w:val="center"/>
              <w:rPr>
                <w:rFonts w:ascii="Times New Roman" w:eastAsia="Times New Roman" w:hAnsi="Times New Roman" w:cs="Times New Roman"/>
                <w:b/>
                <w:sz w:val="28"/>
              </w:rPr>
            </w:pPr>
            <w:r>
              <w:rPr>
                <w:rFonts w:ascii="Times New Roman" w:eastAsia="Times New Roman" w:hAnsi="Times New Roman" w:cs="Times New Roman"/>
                <w:b/>
                <w:sz w:val="28"/>
              </w:rPr>
              <w:t>ỦY BAN NHÂN DÂN</w:t>
            </w:r>
          </w:p>
          <w:p w:rsidR="002464E9" w:rsidRDefault="003F1639">
            <w:pPr>
              <w:spacing w:after="0" w:line="240" w:lineRule="auto"/>
              <w:ind w:right="40"/>
              <w:jc w:val="center"/>
              <w:rPr>
                <w:rFonts w:ascii="Times New Roman" w:eastAsia="Times New Roman" w:hAnsi="Times New Roman" w:cs="Times New Roman"/>
                <w:b/>
                <w:sz w:val="28"/>
              </w:rPr>
            </w:pPr>
            <w:r>
              <w:rPr>
                <w:rFonts w:ascii="Times New Roman" w:eastAsia="Times New Roman" w:hAnsi="Times New Roman" w:cs="Times New Roman"/>
                <w:b/>
                <w:sz w:val="28"/>
              </w:rPr>
              <w:t>TỈNH QUẢNG BÌNH</w:t>
            </w:r>
          </w:p>
          <w:p w:rsidR="002464E9" w:rsidRDefault="003F1639" w:rsidP="003F1639">
            <w:pPr>
              <w:spacing w:before="120" w:after="0" w:line="240" w:lineRule="auto"/>
              <w:ind w:right="40"/>
              <w:jc w:val="center"/>
            </w:pPr>
            <w:r>
              <w:rPr>
                <w:rFonts w:ascii="Times New Roman" w:eastAsia="Times New Roman" w:hAnsi="Times New Roman" w:cs="Times New Roman"/>
                <w:sz w:val="28"/>
              </w:rPr>
              <w:t>Số:  897</w:t>
            </w:r>
            <w:r>
              <w:rPr>
                <w:rFonts w:ascii="Times New Roman" w:eastAsia="Times New Roman" w:hAnsi="Times New Roman" w:cs="Times New Roman"/>
                <w:sz w:val="28"/>
              </w:rPr>
              <w:t>/UBND-KTN</w:t>
            </w:r>
          </w:p>
        </w:tc>
        <w:tc>
          <w:tcPr>
            <w:tcW w:w="60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3F1639">
            <w:pPr>
              <w:spacing w:after="0" w:line="240" w:lineRule="auto"/>
              <w:ind w:right="-13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CỘNG HOÀ XÃ HỘI CHỦ NGHĨA VIỆT NAM </w:t>
            </w:r>
          </w:p>
          <w:p w:rsidR="002464E9" w:rsidRDefault="003F1639">
            <w:pPr>
              <w:spacing w:after="0" w:line="240" w:lineRule="auto"/>
              <w:ind w:right="-135" w:hanging="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Độc lập - Tự do - Hạnh phúc</w:t>
            </w:r>
          </w:p>
          <w:p w:rsidR="002464E9" w:rsidRDefault="003F1639">
            <w:pPr>
              <w:spacing w:before="120" w:after="0" w:line="240" w:lineRule="auto"/>
              <w:ind w:right="-40"/>
              <w:jc w:val="right"/>
            </w:pPr>
            <w:r>
              <w:rPr>
                <w:rFonts w:ascii="Times New Roman" w:eastAsia="Times New Roman" w:hAnsi="Times New Roman" w:cs="Times New Roman"/>
                <w:i/>
                <w:sz w:val="28"/>
              </w:rPr>
              <w:t>Quảng Bình, ngày  25 tháng 5 năm 2017</w:t>
            </w:r>
          </w:p>
        </w:tc>
      </w:tr>
      <w:tr w:rsidR="002464E9">
        <w:tblPrEx>
          <w:tblCellMar>
            <w:top w:w="0" w:type="dxa"/>
            <w:bottom w:w="0" w:type="dxa"/>
          </w:tblCellMar>
        </w:tblPrEx>
        <w:trPr>
          <w:trHeight w:val="895"/>
        </w:trPr>
        <w:tc>
          <w:tcPr>
            <w:tcW w:w="32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3F1639">
            <w:pPr>
              <w:spacing w:after="0" w:line="240" w:lineRule="auto"/>
              <w:ind w:right="42" w:hanging="134"/>
              <w:jc w:val="center"/>
            </w:pPr>
            <w:r>
              <w:rPr>
                <w:rFonts w:ascii="Times New Roman" w:eastAsia="Times New Roman" w:hAnsi="Times New Roman" w:cs="Times New Roman"/>
                <w:sz w:val="24"/>
              </w:rPr>
              <w:t>V/v tăng cường công tác quản lý khai thác thủy sản, đảm bảo an toàn cho ng</w:t>
            </w:r>
            <w:r>
              <w:rPr>
                <w:rFonts w:ascii="Times New Roman" w:eastAsia="Times New Roman" w:hAnsi="Times New Roman" w:cs="Times New Roman"/>
                <w:sz w:val="24"/>
              </w:rPr>
              <w:t>ười, tàu cá hoạt động trên biển</w:t>
            </w:r>
          </w:p>
        </w:tc>
        <w:tc>
          <w:tcPr>
            <w:tcW w:w="60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2464E9">
            <w:pPr>
              <w:spacing w:before="240" w:after="120" w:line="240" w:lineRule="auto"/>
              <w:ind w:right="-40"/>
              <w:jc w:val="center"/>
              <w:rPr>
                <w:rFonts w:ascii="Calibri" w:eastAsia="Calibri" w:hAnsi="Calibri" w:cs="Calibri"/>
              </w:rPr>
            </w:pPr>
          </w:p>
        </w:tc>
      </w:tr>
    </w:tbl>
    <w:p w:rsidR="002464E9" w:rsidRDefault="002464E9">
      <w:pPr>
        <w:spacing w:after="0" w:line="240" w:lineRule="auto"/>
        <w:jc w:val="center"/>
        <w:rPr>
          <w:rFonts w:ascii="Times New Roman" w:eastAsia="Times New Roman" w:hAnsi="Times New Roman" w:cs="Times New Roman"/>
          <w:sz w:val="28"/>
        </w:rPr>
      </w:pPr>
    </w:p>
    <w:p w:rsidR="002464E9" w:rsidRDefault="003F1639">
      <w:pPr>
        <w:spacing w:after="0" w:line="240" w:lineRule="auto"/>
        <w:ind w:left="2160"/>
        <w:rPr>
          <w:rFonts w:ascii="Times New Roman" w:eastAsia="Times New Roman" w:hAnsi="Times New Roman" w:cs="Times New Roman"/>
          <w:sz w:val="28"/>
        </w:rPr>
      </w:pPr>
      <w:r>
        <w:rPr>
          <w:rFonts w:ascii="Times New Roman" w:eastAsia="Times New Roman" w:hAnsi="Times New Roman" w:cs="Times New Roman"/>
          <w:sz w:val="28"/>
        </w:rPr>
        <w:t xml:space="preserve">Kính gửi:    </w:t>
      </w:r>
    </w:p>
    <w:p w:rsidR="002464E9" w:rsidRDefault="003F1639">
      <w:pPr>
        <w:spacing w:before="60" w:after="0" w:line="240" w:lineRule="auto"/>
        <w:ind w:left="2880" w:firstLine="720"/>
        <w:rPr>
          <w:rFonts w:ascii="Times New Roman" w:eastAsia="Times New Roman" w:hAnsi="Times New Roman" w:cs="Times New Roman"/>
          <w:sz w:val="28"/>
        </w:rPr>
      </w:pPr>
      <w:r>
        <w:rPr>
          <w:rFonts w:ascii="Times New Roman" w:eastAsia="Times New Roman" w:hAnsi="Times New Roman" w:cs="Times New Roman"/>
          <w:sz w:val="28"/>
        </w:rPr>
        <w:t>- Sở Nông nghiệp và Phát triển nông thôn;</w:t>
      </w:r>
    </w:p>
    <w:p w:rsidR="002464E9" w:rsidRDefault="003F1639">
      <w:pPr>
        <w:spacing w:before="60" w:after="0" w:line="240" w:lineRule="auto"/>
        <w:ind w:left="2880" w:firstLine="720"/>
        <w:rPr>
          <w:rFonts w:ascii="Times New Roman" w:eastAsia="Times New Roman" w:hAnsi="Times New Roman" w:cs="Times New Roman"/>
          <w:sz w:val="28"/>
        </w:rPr>
      </w:pPr>
      <w:r>
        <w:rPr>
          <w:rFonts w:ascii="Times New Roman" w:eastAsia="Times New Roman" w:hAnsi="Times New Roman" w:cs="Times New Roman"/>
          <w:sz w:val="28"/>
        </w:rPr>
        <w:t>- UBND các huyện, thành phố, thị xã.</w:t>
      </w:r>
    </w:p>
    <w:p w:rsidR="002464E9" w:rsidRDefault="002464E9">
      <w:pPr>
        <w:spacing w:after="0" w:line="240" w:lineRule="auto"/>
        <w:jc w:val="center"/>
        <w:rPr>
          <w:rFonts w:ascii="Times New Roman" w:eastAsia="Times New Roman" w:hAnsi="Times New Roman" w:cs="Times New Roman"/>
          <w:sz w:val="28"/>
        </w:rPr>
      </w:pPr>
    </w:p>
    <w:p w:rsidR="002464E9" w:rsidRDefault="003F1639">
      <w:pPr>
        <w:spacing w:before="120" w:after="0" w:line="288" w:lineRule="auto"/>
        <w:ind w:firstLine="53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Trong những năm qua, thực hiện chủ trương của Đảng và Nhà n</w:t>
      </w:r>
      <w:r>
        <w:rPr>
          <w:rFonts w:ascii="Times New Roman" w:eastAsia="Times New Roman" w:hAnsi="Times New Roman" w:cs="Times New Roman"/>
          <w:spacing w:val="-4"/>
          <w:sz w:val="28"/>
        </w:rPr>
        <w:t xml:space="preserve">ước về khuyến khích, hỗ trợ phát triển thủy sản, đội tàu khai thác thủy sản của tỉnh ta phát triển khá mạnh, đã góp phần nâng cao đời sống nhân dân, phát triển kinh tế, bảo vệ chủ quyền biển đảo của Tổ quốc; công tác quản lý khai thác thủy sản, đảm bảo an </w:t>
      </w:r>
      <w:r>
        <w:rPr>
          <w:rFonts w:ascii="Times New Roman" w:eastAsia="Times New Roman" w:hAnsi="Times New Roman" w:cs="Times New Roman"/>
          <w:spacing w:val="-4"/>
          <w:sz w:val="28"/>
        </w:rPr>
        <w:t>toàn cho người và tàu cá hoạt động thủy sản trên các vùng biển đã đạt được triển khai thực hiện có hiệu quả, số lượng tàu cá hoạt động ở các vùng biển ven bờ giảm, số lượng tàu cá hoạt động trên các vùng biển xa phát triển nhanh.</w:t>
      </w:r>
    </w:p>
    <w:p w:rsidR="002464E9" w:rsidRDefault="003F1639">
      <w:pPr>
        <w:spacing w:before="120" w:after="0" w:line="288" w:lineRule="auto"/>
        <w:ind w:firstLine="53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Bên cạnh những kết quả </w:t>
      </w:r>
      <w:r>
        <w:rPr>
          <w:rFonts w:ascii="Times New Roman" w:eastAsia="Times New Roman" w:hAnsi="Times New Roman" w:cs="Times New Roman"/>
          <w:spacing w:val="-4"/>
          <w:sz w:val="28"/>
        </w:rPr>
        <w:t>đạt được nêu trên, tình trạng tai nạn đối với tàu các vẫn còn xảy ra; tàu cá đánh bất hợp pháp diễn biến ngày càng phức tạp, nhất là các tàu dã cào, tàu cá đánh bắt vi phạm vùng biển nước ngoài; tàu cá đóng mới không nằm trong quy hoạch, nhất là tàu các có</w:t>
      </w:r>
      <w:r>
        <w:rPr>
          <w:rFonts w:ascii="Times New Roman" w:eastAsia="Times New Roman" w:hAnsi="Times New Roman" w:cs="Times New Roman"/>
          <w:spacing w:val="-4"/>
          <w:sz w:val="28"/>
        </w:rPr>
        <w:t xml:space="preserve"> công suất dưới 20CV... </w:t>
      </w:r>
      <w:proofErr w:type="gramStart"/>
      <w:r>
        <w:rPr>
          <w:rFonts w:ascii="Times New Roman" w:eastAsia="Times New Roman" w:hAnsi="Times New Roman" w:cs="Times New Roman"/>
          <w:spacing w:val="-4"/>
          <w:sz w:val="28"/>
        </w:rPr>
        <w:t>đã</w:t>
      </w:r>
      <w:proofErr w:type="gramEnd"/>
      <w:r>
        <w:rPr>
          <w:rFonts w:ascii="Times New Roman" w:eastAsia="Times New Roman" w:hAnsi="Times New Roman" w:cs="Times New Roman"/>
          <w:spacing w:val="-4"/>
          <w:sz w:val="28"/>
        </w:rPr>
        <w:t xml:space="preserve"> ảnh hưởng đến hoạt động khai thác thủy sản và vi phạm quy định của nước ta và quốc tế.</w:t>
      </w:r>
    </w:p>
    <w:p w:rsidR="002464E9" w:rsidRDefault="003F1639">
      <w:pPr>
        <w:spacing w:before="120" w:after="0" w:line="288" w:lineRule="auto"/>
        <w:ind w:firstLine="53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Để quản lý tốt hoạt động khai thác thủy sản, đảm bảo an toàn cho người và tàu cá hoạt động trên các vùng biển, hướng tới khai thác thủy sản bề</w:t>
      </w:r>
      <w:r>
        <w:rPr>
          <w:rFonts w:ascii="Times New Roman" w:eastAsia="Times New Roman" w:hAnsi="Times New Roman" w:cs="Times New Roman"/>
          <w:spacing w:val="-4"/>
          <w:sz w:val="28"/>
        </w:rPr>
        <w:t>n vững, hiệu quả; thực hiện Chỉ thị số 3727/CT-BNN-TCTS ngày 05/5/2017 của Bộ Nông nghiệp và Phát triển nông thôn về tăng cường quản lý khai thác thủy sản, đảm bảo an toàn cho người, tàu cá hoạt động trên biển, Ủy ban nhân dân tỉnh yêu cầu:</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1. Sở Nông nghi</w:t>
      </w:r>
      <w:r>
        <w:rPr>
          <w:rFonts w:ascii="Times New Roman" w:eastAsia="Times New Roman" w:hAnsi="Times New Roman" w:cs="Times New Roman"/>
          <w:sz w:val="28"/>
        </w:rPr>
        <w:t>ệp và Phát triển nông thôn</w:t>
      </w:r>
    </w:p>
    <w:p w:rsidR="002464E9" w:rsidRDefault="003F1639">
      <w:pPr>
        <w:spacing w:before="120" w:after="0" w:line="288" w:lineRule="auto"/>
        <w:ind w:firstLine="53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Tăng cường quản lý, kiểm soát chặt chẽ việc đóng mới tàu cá theo quy hoạch, tạm dừng việc cấp văn bản chấp thuận cho phép đóng mới tàu cá làm nghề lưới kéo dưới mọi hình thức, kể cả tàu giải bản, bị hư hỏng, mục nát hoặc bị tai</w:t>
      </w:r>
      <w:r>
        <w:rPr>
          <w:rFonts w:ascii="Times New Roman" w:eastAsia="Times New Roman" w:hAnsi="Times New Roman" w:cs="Times New Roman"/>
          <w:spacing w:val="-4"/>
          <w:sz w:val="28"/>
        </w:rPr>
        <w:t xml:space="preserve"> nạn.</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Thực hiện nghiêm việc đăng ký, đăng kiểm tàu cá và cấp giấy phép khai thác thủy sản; đối với việc cấp giấy phép khai thác thủy sản phải thống nhất giữa vùng hoạt động của giấy phép khai thác thủy sản với giấy chứng nhận an toàn kỹ thuật tàu cá; hiệ</w:t>
      </w:r>
      <w:r>
        <w:rPr>
          <w:rFonts w:ascii="Times New Roman" w:eastAsia="Times New Roman" w:hAnsi="Times New Roman" w:cs="Times New Roman"/>
          <w:sz w:val="28"/>
        </w:rPr>
        <w:t>u lực của giấy phép khai thác thủy sản phải thống nhất với hiệu lực trong giấy chứng nhận an toàn kỹ thuật tàu cá.</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Tăng cường thẩm định, phê duyệt hồ sơ thiết kế đối với tàu cá có hồ sơ thiết kế và kiểm tra an toàn kỹ thuật, từ khâu thẩm định hồ sơ thiết</w:t>
      </w:r>
      <w:r>
        <w:rPr>
          <w:rFonts w:ascii="Times New Roman" w:eastAsia="Times New Roman" w:hAnsi="Times New Roman" w:cs="Times New Roman"/>
          <w:sz w:val="28"/>
        </w:rPr>
        <w:t xml:space="preserve"> kế, giám sát quá trình đóng mới, nâng cấp, sửa chữa đối với tàu cá có công suất từ 90CV trở lên; nghiêm cấm việc lắp đặt các loại máy kém chất lượng, máy bộ (động cơ ô tô, máy kéo được thủy hóa, các loại máy không rõ nguồn gốc, xuất xứ) xuống tàu cá.</w:t>
      </w:r>
    </w:p>
    <w:p w:rsidR="002464E9" w:rsidRDefault="003F1639">
      <w:pPr>
        <w:spacing w:before="120" w:after="0" w:line="288" w:lineRule="auto"/>
        <w:ind w:firstLine="53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Th</w:t>
      </w:r>
      <w:r>
        <w:rPr>
          <w:rFonts w:ascii="Times New Roman" w:eastAsia="Times New Roman" w:hAnsi="Times New Roman" w:cs="Times New Roman"/>
          <w:spacing w:val="-2"/>
          <w:sz w:val="28"/>
        </w:rPr>
        <w:t>ực hiện nghiêm công tác xác nhận và chứng nhận nguyên liệu thủy sản khai thác theo đúng quy định tại Điều 6, Điều 7 và Điều 8 Thông tư số 50/2015/TT-BNNPTNT ngày 30/12/2015 của Bộ Nông nghiệp và Phát triển nông thôn quy định về chứng nhận, xác nhận thủy sả</w:t>
      </w:r>
      <w:r>
        <w:rPr>
          <w:rFonts w:ascii="Times New Roman" w:eastAsia="Times New Roman" w:hAnsi="Times New Roman" w:cs="Times New Roman"/>
          <w:spacing w:val="-2"/>
          <w:sz w:val="28"/>
        </w:rPr>
        <w:t>n; sản phẩm thủy sản phải được kiểm tra tính xác thực của các thông tin đã ghi trong giấy xác nhận nguyên liệu của chủ hàng trước khi được xác nhận và chứng nhận nguồn gốc sản phẩm khai thác.</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lực lượng Biên phòng, Công an tăng cường</w:t>
      </w:r>
      <w:r>
        <w:rPr>
          <w:rFonts w:ascii="Times New Roman" w:eastAsia="Times New Roman" w:hAnsi="Times New Roman" w:cs="Times New Roman"/>
          <w:sz w:val="28"/>
        </w:rPr>
        <w:t xml:space="preserve"> tuần tra, kiểm soát và xử lý nghiêm các trường hợp tàu cá vi phạm các quy định của Pháp luật như: không trang bị đầy đủ các trang thiết bị đảm bảo an toàn khi hoạt động trên biển, không thực hiện đánh dấu tàu cá, không có số đăng ký, không thực hiện ghi n</w:t>
      </w:r>
      <w:r>
        <w:rPr>
          <w:rFonts w:ascii="Times New Roman" w:eastAsia="Times New Roman" w:hAnsi="Times New Roman" w:cs="Times New Roman"/>
          <w:sz w:val="28"/>
        </w:rPr>
        <w:t>hật ký khai thác thủy sản; sử dụng các loại ngư cụ cấm, đặc biệt là các trường hợp sử dụng chất nổ, xung điện, chất độc để khai thác thủy sản.</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Tổ chức kiểm tra, kiểm soát và xử lý vi phạm của nước ngoài khi tàu cá các nước khác vi phạm; đối với các chủ t</w:t>
      </w:r>
      <w:r>
        <w:rPr>
          <w:rFonts w:ascii="Times New Roman" w:eastAsia="Times New Roman" w:hAnsi="Times New Roman" w:cs="Times New Roman"/>
          <w:sz w:val="28"/>
        </w:rPr>
        <w:t>àu cá có tàu cá vi phạm vùng biển các nước để đánh bắt hải sản trái phép thì không xem xét hỗ trợ để hưởng các chính sách Nhà nước ban hành, đồng thời tước quyền sử dụng bằng thuyền trưởng, giấy phép khai thác thủy sản đối với thuyền trưởng và tàu cá vi ph</w:t>
      </w:r>
      <w:r>
        <w:rPr>
          <w:rFonts w:ascii="Times New Roman" w:eastAsia="Times New Roman" w:hAnsi="Times New Roman" w:cs="Times New Roman"/>
          <w:sz w:val="28"/>
        </w:rPr>
        <w:t>ạm.</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Thực hiện nghiêm chế độ báo cáo về tình hình triển khai thực hiện nhiệm vụ tại Chỉ thị này và các văn bản hướng dẫn, văn bản quản lý về khai thác thủy sản, đảm bảo an toàn cho người, tàu cá hoạt động trên biển theo quy định của Bộ Nông nghiệp và Phát</w:t>
      </w:r>
      <w:r>
        <w:rPr>
          <w:rFonts w:ascii="Times New Roman" w:eastAsia="Times New Roman" w:hAnsi="Times New Roman" w:cs="Times New Roman"/>
          <w:sz w:val="28"/>
        </w:rPr>
        <w:t xml:space="preserve"> triển nông thôn. </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Ủy ban nhân dân các huyện, thành phố, thị xã</w:t>
      </w:r>
    </w:p>
    <w:p w:rsidR="002464E9" w:rsidRDefault="003F1639">
      <w:pPr>
        <w:spacing w:before="120" w:after="0" w:line="288" w:lineRule="auto"/>
        <w:ind w:firstLine="539"/>
        <w:jc w:val="both"/>
        <w:rPr>
          <w:rFonts w:ascii="Times New Roman" w:eastAsia="Times New Roman" w:hAnsi="Times New Roman" w:cs="Times New Roman"/>
          <w:spacing w:val="-4"/>
          <w:sz w:val="28"/>
        </w:rPr>
      </w:pPr>
      <w:r>
        <w:rPr>
          <w:rFonts w:ascii="Times New Roman" w:eastAsia="Times New Roman" w:hAnsi="Times New Roman" w:cs="Times New Roman"/>
          <w:sz w:val="28"/>
        </w:rPr>
        <w:t>- Thông báo cho ngư biết rõ về quy định tạm dừng cấp văn bản chấp thuận đóng mới tàu cá làm nghề lưới kéo dưới mọi hình thức,</w:t>
      </w:r>
      <w:r>
        <w:rPr>
          <w:rFonts w:ascii="Times New Roman" w:eastAsia="Times New Roman" w:hAnsi="Times New Roman" w:cs="Times New Roman"/>
          <w:spacing w:val="-4"/>
          <w:sz w:val="28"/>
        </w:rPr>
        <w:t xml:space="preserve"> kể cả tàu giải bản, bị hư hỏng, mục nát hoặc bị tai nạn</w:t>
      </w:r>
      <w:r>
        <w:rPr>
          <w:rFonts w:ascii="Times New Roman" w:eastAsia="Times New Roman" w:hAnsi="Times New Roman" w:cs="Times New Roman"/>
          <w:sz w:val="28"/>
        </w:rPr>
        <w:t>; nghiêm</w:t>
      </w:r>
      <w:r>
        <w:rPr>
          <w:rFonts w:ascii="Times New Roman" w:eastAsia="Times New Roman" w:hAnsi="Times New Roman" w:cs="Times New Roman"/>
          <w:sz w:val="28"/>
        </w:rPr>
        <w:t xml:space="preserve"> cấm việc lắp đặt các loại máy kém chất lượng, máy bộ (động cơ ô tô, máy kéo được thủy hóa, các loại máy không rõ nguồn gốc, xuất xứ) xuống tàu cá.</w:t>
      </w:r>
    </w:p>
    <w:p w:rsidR="002464E9" w:rsidRDefault="003F1639">
      <w:pPr>
        <w:spacing w:before="120" w:after="0" w:line="288" w:lineRule="auto"/>
        <w:ind w:firstLine="53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Tổ chức tuyên truyền, phổ biến các quy định về khai thác thủy sản; tổ chức cho ngư dân </w:t>
      </w:r>
      <w:r>
        <w:rPr>
          <w:rFonts w:ascii="Times New Roman" w:eastAsia="Times New Roman" w:hAnsi="Times New Roman" w:cs="Times New Roman"/>
          <w:sz w:val="28"/>
        </w:rPr>
        <w:t>ký cam kết không vi</w:t>
      </w:r>
      <w:r>
        <w:rPr>
          <w:rFonts w:ascii="Times New Roman" w:eastAsia="Times New Roman" w:hAnsi="Times New Roman" w:cs="Times New Roman"/>
          <w:sz w:val="28"/>
        </w:rPr>
        <w:t xml:space="preserve"> phạm vùng biển nước ngoài để đánh bắt hải sản; đối với các chủ tàu cá có tàu cá vi phạm vùng biển các nước để đánh bắt hải sản trái phép thì không xem xét hỗ trợ để hưởng các chính sách Nhà nước ban hành.</w:t>
      </w:r>
    </w:p>
    <w:p w:rsidR="002464E9" w:rsidRDefault="003F1639">
      <w:pPr>
        <w:spacing w:before="120" w:after="0" w:line="288" w:lineRule="auto"/>
        <w:ind w:firstLine="5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Đẩy mạnh công tác kiểm tra, kiểm soát và xử lý n</w:t>
      </w:r>
      <w:r>
        <w:rPr>
          <w:rFonts w:ascii="Times New Roman" w:eastAsia="Times New Roman" w:hAnsi="Times New Roman" w:cs="Times New Roman"/>
          <w:color w:val="000000"/>
          <w:sz w:val="28"/>
        </w:rPr>
        <w:t>ghiêm các đối tượng tàng trữ, sử dụng chất nổ, xung điện, chất độc để khai thác thủy sản tại vùng biển ven bờ và vùng nước nội địa trên địa bàn theo phân cấp.</w:t>
      </w:r>
    </w:p>
    <w:p w:rsidR="002464E9" w:rsidRDefault="003F1639">
      <w:pPr>
        <w:spacing w:before="120" w:after="120" w:line="288" w:lineRule="auto"/>
        <w:ind w:firstLine="539"/>
        <w:jc w:val="both"/>
        <w:rPr>
          <w:rFonts w:ascii="Times New Roman" w:eastAsia="Times New Roman" w:hAnsi="Times New Roman" w:cs="Times New Roman"/>
          <w:b/>
          <w:i/>
          <w:sz w:val="24"/>
        </w:rPr>
      </w:pPr>
      <w:r>
        <w:rPr>
          <w:rFonts w:ascii="Times New Roman" w:eastAsia="Times New Roman" w:hAnsi="Times New Roman" w:cs="Times New Roman"/>
          <w:color w:val="000000"/>
          <w:sz w:val="28"/>
        </w:rPr>
        <w:t>Yêu cầu Sở Nông nghiệp và Phát triển nông thôn, Ủy ban nhân dân các huyện, thành phố, thị xã nghiêm túc triển khai thực hiện</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w:t>
      </w:r>
      <w:r>
        <w:rPr>
          <w:rFonts w:ascii="Times New Roman" w:eastAsia="Times New Roman" w:hAnsi="Times New Roman" w:cs="Times New Roman"/>
          <w:b/>
          <w:i/>
          <w:sz w:val="24"/>
        </w:rPr>
        <w:t xml:space="preserve"> </w:t>
      </w:r>
    </w:p>
    <w:tbl>
      <w:tblPr>
        <w:tblW w:w="0" w:type="auto"/>
        <w:tblInd w:w="98" w:type="dxa"/>
        <w:tblCellMar>
          <w:left w:w="10" w:type="dxa"/>
          <w:right w:w="10" w:type="dxa"/>
        </w:tblCellMar>
        <w:tblLook w:val="04A0"/>
      </w:tblPr>
      <w:tblGrid>
        <w:gridCol w:w="4830"/>
        <w:gridCol w:w="4457"/>
      </w:tblGrid>
      <w:tr w:rsidR="002464E9">
        <w:tblPrEx>
          <w:tblCellMar>
            <w:top w:w="0" w:type="dxa"/>
            <w:bottom w:w="0" w:type="dxa"/>
          </w:tblCellMar>
        </w:tblPrEx>
        <w:trPr>
          <w:trHeight w:val="911"/>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3F163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Nơi nhận:</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t>
            </w:r>
          </w:p>
          <w:p w:rsidR="002464E9" w:rsidRDefault="003F1639">
            <w:pPr>
              <w:spacing w:after="0" w:line="240" w:lineRule="auto"/>
              <w:rPr>
                <w:rFonts w:ascii="Times New Roman" w:eastAsia="Times New Roman" w:hAnsi="Times New Roman" w:cs="Times New Roman"/>
              </w:rPr>
            </w:pPr>
            <w:r>
              <w:rPr>
                <w:rFonts w:ascii="Times New Roman" w:eastAsia="Times New Roman" w:hAnsi="Times New Roman" w:cs="Times New Roman"/>
              </w:rPr>
              <w:t>- Như trên;</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Chủ tịch, các PCT UBND tỉnh;</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Công an tỉnh;</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Bộ Chỉ huy QS tỉnh;</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Bộ Chỉ huy BĐBP tỉnh;</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Chi </w:t>
            </w:r>
            <w:r>
              <w:rPr>
                <w:rFonts w:ascii="Times New Roman" w:eastAsia="Times New Roman" w:hAnsi="Times New Roman" w:cs="Times New Roman"/>
              </w:rPr>
              <w:t>cục Thủy sản;</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Lãnh đạo VPUBND tỉnh;</w:t>
            </w:r>
          </w:p>
          <w:p w:rsidR="002464E9" w:rsidRDefault="003F16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Lưu: VT, CVNN.</w:t>
            </w:r>
          </w:p>
          <w:p w:rsidR="002464E9" w:rsidRDefault="002464E9">
            <w:pPr>
              <w:spacing w:after="0" w:line="240" w:lineRule="auto"/>
              <w:jc w:val="both"/>
            </w:pPr>
          </w:p>
        </w:tc>
        <w:tc>
          <w:tcPr>
            <w:tcW w:w="44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464E9" w:rsidRDefault="003F16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2464E9" w:rsidRDefault="003F163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2464E9" w:rsidRDefault="002464E9">
            <w:pPr>
              <w:spacing w:after="0" w:line="288" w:lineRule="auto"/>
              <w:jc w:val="center"/>
              <w:rPr>
                <w:rFonts w:ascii="Times New Roman" w:eastAsia="Times New Roman" w:hAnsi="Times New Roman" w:cs="Times New Roman"/>
                <w:b/>
                <w:sz w:val="28"/>
              </w:rPr>
            </w:pPr>
          </w:p>
          <w:p w:rsidR="002464E9" w:rsidRDefault="002464E9">
            <w:pPr>
              <w:spacing w:after="0" w:line="288" w:lineRule="auto"/>
              <w:jc w:val="center"/>
              <w:rPr>
                <w:rFonts w:ascii="Times New Roman" w:eastAsia="Times New Roman" w:hAnsi="Times New Roman" w:cs="Times New Roman"/>
                <w:b/>
                <w:sz w:val="28"/>
              </w:rPr>
            </w:pPr>
          </w:p>
          <w:p w:rsidR="002464E9" w:rsidRDefault="002464E9">
            <w:pPr>
              <w:spacing w:after="0" w:line="288" w:lineRule="auto"/>
              <w:jc w:val="center"/>
              <w:rPr>
                <w:rFonts w:ascii="Times New Roman" w:eastAsia="Times New Roman" w:hAnsi="Times New Roman" w:cs="Times New Roman"/>
                <w:b/>
                <w:sz w:val="28"/>
              </w:rPr>
            </w:pPr>
          </w:p>
          <w:p w:rsidR="002464E9" w:rsidRDefault="002464E9">
            <w:pPr>
              <w:spacing w:after="0" w:line="288" w:lineRule="auto"/>
              <w:jc w:val="center"/>
              <w:rPr>
                <w:rFonts w:ascii="Times New Roman" w:eastAsia="Times New Roman" w:hAnsi="Times New Roman" w:cs="Times New Roman"/>
                <w:b/>
                <w:sz w:val="28"/>
              </w:rPr>
            </w:pPr>
          </w:p>
          <w:p w:rsidR="002464E9" w:rsidRDefault="003F1639">
            <w:pPr>
              <w:spacing w:after="0" w:line="288"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Lê Minh Ngân</w:t>
            </w:r>
          </w:p>
          <w:p w:rsidR="002464E9" w:rsidRDefault="002464E9">
            <w:pPr>
              <w:spacing w:after="0" w:line="288" w:lineRule="auto"/>
              <w:jc w:val="center"/>
            </w:pPr>
          </w:p>
        </w:tc>
      </w:tr>
    </w:tbl>
    <w:p w:rsidR="002464E9" w:rsidRDefault="002464E9">
      <w:pPr>
        <w:spacing w:before="120" w:after="0" w:line="288" w:lineRule="auto"/>
        <w:ind w:firstLine="539"/>
        <w:jc w:val="both"/>
        <w:rPr>
          <w:rFonts w:ascii="Times New Roman" w:eastAsia="Times New Roman" w:hAnsi="Times New Roman" w:cs="Times New Roman"/>
          <w:b/>
          <w:i/>
          <w:sz w:val="24"/>
        </w:rPr>
      </w:pPr>
    </w:p>
    <w:sectPr w:rsidR="00246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464E9"/>
    <w:rsid w:val="002464E9"/>
    <w:rsid w:val="003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2017-05-26T08:22:00Z</dcterms:created>
  <dcterms:modified xsi:type="dcterms:W3CDTF">2017-05-26T08:22:00Z</dcterms:modified>
</cp:coreProperties>
</file>