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88"/>
        <w:gridCol w:w="6120"/>
      </w:tblGrid>
      <w:tr w:rsidR="00537D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11" w:rsidRDefault="00891CE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UỶ BAN NHÂN DÂN</w:t>
            </w:r>
          </w:p>
          <w:p w:rsidR="00537D11" w:rsidRDefault="00891CE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  <w:p w:rsidR="00537D11" w:rsidRDefault="00891C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898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/UBND-KTN  </w:t>
            </w:r>
          </w:p>
          <w:p w:rsidR="00537D11" w:rsidRDefault="00891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tạm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ngừng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hạn</w:t>
            </w:r>
            <w:proofErr w:type="spellEnd"/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11" w:rsidRDefault="0089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  <w:p w:rsidR="00537D11" w:rsidRDefault="00891CE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537D11" w:rsidRDefault="00891CEB">
            <w:pPr>
              <w:spacing w:before="120"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537D11" w:rsidRDefault="00537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37D11" w:rsidRDefault="00891CEB">
      <w:pPr>
        <w:spacing w:after="0" w:line="240" w:lineRule="auto"/>
        <w:ind w:right="-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</w:t>
      </w:r>
    </w:p>
    <w:p w:rsidR="00537D11" w:rsidRDefault="00891CE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37D11" w:rsidRDefault="00891CEB">
      <w:pPr>
        <w:spacing w:after="0" w:line="288" w:lineRule="auto"/>
        <w:ind w:left="288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37D11" w:rsidRDefault="00891CEB">
      <w:pPr>
        <w:spacing w:after="0" w:line="288" w:lineRule="auto"/>
        <w:ind w:left="288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37D11" w:rsidRDefault="00891CEB">
      <w:pPr>
        <w:spacing w:after="0" w:line="288" w:lineRule="auto"/>
        <w:ind w:left="288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37D11" w:rsidRDefault="00891CE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01/5/2017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16/8/2017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lưới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rê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3798/BNN-TCTS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09/5/2017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ngừn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Lưu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ý,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2016 - 2017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chặt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04-62737323. </w:t>
      </w:r>
    </w:p>
    <w:p w:rsidR="00537D11" w:rsidRDefault="00891CEB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dõi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b/>
          <w:sz w:val="14"/>
        </w:rPr>
        <w:t xml:space="preserve">         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KT. CHỦ TỊCH 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</w:rPr>
        <w:t>Như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PHÓ CHỦ TỊCH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PCT UBND </w:t>
      </w:r>
      <w:proofErr w:type="spellStart"/>
      <w:r>
        <w:rPr>
          <w:rFonts w:ascii="Times New Roman" w:eastAsia="Times New Roman" w:hAnsi="Times New Roman" w:cs="Times New Roman"/>
          <w:sz w:val="24"/>
        </w:rPr>
        <w:t>tỉnh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</w:rPr>
        <w:t>Lãnh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VPUBND </w:t>
      </w:r>
      <w:proofErr w:type="spellStart"/>
      <w:r>
        <w:rPr>
          <w:rFonts w:ascii="Times New Roman" w:eastAsia="Times New Roman" w:hAnsi="Times New Roman" w:cs="Times New Roman"/>
          <w:sz w:val="24"/>
        </w:rPr>
        <w:t>tỉnh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Chi </w:t>
      </w:r>
      <w:proofErr w:type="spellStart"/>
      <w:r>
        <w:rPr>
          <w:rFonts w:ascii="Times New Roman" w:eastAsia="Times New Roman" w:hAnsi="Times New Roman" w:cs="Times New Roman"/>
          <w:sz w:val="24"/>
        </w:rPr>
        <w:t>cục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Thủy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sản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VT, CVNN.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</w:p>
    <w:p w:rsidR="00537D11" w:rsidRDefault="005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7D11" w:rsidRDefault="0053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7D11" w:rsidRDefault="0089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537D11" w:rsidRDefault="00537D11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sectPr w:rsidR="0053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D11"/>
    <w:rsid w:val="00537D11"/>
    <w:rsid w:val="008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2017-05-26T08:25:00Z</dcterms:created>
  <dcterms:modified xsi:type="dcterms:W3CDTF">2017-05-26T08:25:00Z</dcterms:modified>
</cp:coreProperties>
</file>