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38"/>
        <w:gridCol w:w="5950"/>
      </w:tblGrid>
      <w:tr w:rsidR="009F5C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C19" w:rsidRDefault="00AB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ỦY BAN NHÂN DÂN</w:t>
            </w:r>
          </w:p>
          <w:p w:rsidR="009F5C19" w:rsidRDefault="00AB0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TỈNH QUẢNG BÌNH</w:t>
            </w:r>
          </w:p>
        </w:tc>
        <w:tc>
          <w:tcPr>
            <w:tcW w:w="5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C19" w:rsidRDefault="00AB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CỘNG HÒA XÃ HỘI CHỦ NGHĨA VIỆT NAM</w:t>
            </w:r>
          </w:p>
          <w:p w:rsidR="009F5C19" w:rsidRDefault="00AB0E5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phúc</w:t>
            </w:r>
            <w:proofErr w:type="spellEnd"/>
          </w:p>
        </w:tc>
      </w:tr>
      <w:tr w:rsidR="009F5C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C19" w:rsidRDefault="009F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9F5C19" w:rsidRDefault="00AB0E56" w:rsidP="00AB0E5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>:   1525</w:t>
            </w:r>
            <w:r>
              <w:rPr>
                <w:rFonts w:ascii="Times New Roman" w:eastAsia="Times New Roman" w:hAnsi="Times New Roman" w:cs="Times New Roman"/>
                <w:sz w:val="27"/>
              </w:rPr>
              <w:t>/QĐ-UBND</w:t>
            </w:r>
          </w:p>
        </w:tc>
        <w:tc>
          <w:tcPr>
            <w:tcW w:w="5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C19" w:rsidRDefault="009F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9F5C19" w:rsidRDefault="00AB0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7"/>
              </w:rPr>
              <w:t>Quảng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7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7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 05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7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 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7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2017</w:t>
            </w:r>
          </w:p>
        </w:tc>
      </w:tr>
    </w:tbl>
    <w:p w:rsidR="009F5C19" w:rsidRDefault="009F5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</w:rPr>
      </w:pPr>
    </w:p>
    <w:p w:rsidR="009F5C19" w:rsidRDefault="00AB0E56">
      <w:pPr>
        <w:tabs>
          <w:tab w:val="left" w:pos="5055"/>
        </w:tabs>
        <w:spacing w:after="0" w:line="38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QUYẾT ĐỊNH</w:t>
      </w:r>
    </w:p>
    <w:p w:rsidR="009F5C19" w:rsidRDefault="00AB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Giáo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xứ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Trừng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Hải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Giáo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lý</w:t>
      </w:r>
      <w:proofErr w:type="spellEnd"/>
    </w:p>
    <w:p w:rsidR="009F5C19" w:rsidRDefault="00AB0E56">
      <w:pPr>
        <w:spacing w:after="120" w:line="240" w:lineRule="auto"/>
        <w:jc w:val="center"/>
        <w:rPr>
          <w:rFonts w:ascii=".VnTimeH" w:eastAsia=".VnTimeH" w:hAnsi=".VnTimeH" w:cs=".VnTimeH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tại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Phú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Trạch</w:t>
      </w:r>
      <w:proofErr w:type="spellEnd"/>
    </w:p>
    <w:p w:rsidR="009F5C19" w:rsidRDefault="00AB0E5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ỦY BAN NHÂN DÂN TỈNH QUẢNG BÌNH</w:t>
      </w:r>
    </w:p>
    <w:p w:rsidR="009F5C19" w:rsidRDefault="00AB0E56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19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2015;</w:t>
      </w:r>
    </w:p>
    <w:p w:rsidR="009F5C19" w:rsidRDefault="00AB0E5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đai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2013;</w:t>
      </w:r>
    </w:p>
    <w:p w:rsidR="009F5C19" w:rsidRDefault="00AB0E5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</w:t>
      </w:r>
      <w:r>
        <w:rPr>
          <w:rFonts w:ascii="Times New Roman" w:eastAsia="Times New Roman" w:hAnsi="Times New Roman" w:cs="Times New Roman"/>
          <w:sz w:val="28"/>
        </w:rPr>
        <w:t>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43/2014/NĐ-CP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2014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8"/>
        </w:rPr>
        <w:t>tiết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đai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9F5C19" w:rsidRDefault="00AB0E5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01/2017/NÐ-CP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06/01/2017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đổi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bổ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8"/>
        </w:rPr>
        <w:t>tiết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đai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9F5C19" w:rsidRDefault="00AB0E5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30/2014/TT-BTNMT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02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2014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9F5C19" w:rsidRDefault="00AB0E5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22/NQ-HĐND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08/12/2016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8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2017 </w:t>
      </w:r>
      <w:proofErr w:type="spellStart"/>
      <w:r>
        <w:rPr>
          <w:rFonts w:ascii="Times New Roman" w:eastAsia="Times New Roman" w:hAnsi="Times New Roman" w:cs="Times New Roman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9F5C19" w:rsidRDefault="00AB0E5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4265/QĐ-UBND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31/12/2016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duyệt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2017 </w:t>
      </w:r>
      <w:proofErr w:type="spellStart"/>
      <w:r>
        <w:rPr>
          <w:rFonts w:ascii="Times New Roman" w:eastAsia="Times New Roman" w:hAnsi="Times New Roman" w:cs="Times New Roman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Trạch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9F5C19" w:rsidRDefault="00AB0E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.VnTime" w:eastAsia=".VnTime" w:hAnsi=".VnTime" w:cs=".VnTime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Xét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Tờ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227/</w:t>
      </w:r>
      <w:proofErr w:type="spellStart"/>
      <w:r>
        <w:rPr>
          <w:rFonts w:ascii="Times New Roman" w:eastAsia="Times New Roman" w:hAnsi="Times New Roman" w:cs="Times New Roman"/>
          <w:sz w:val="28"/>
        </w:rPr>
        <w:t>TTr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-STNMT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04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2017,</w:t>
      </w:r>
    </w:p>
    <w:p w:rsidR="009F5C19" w:rsidRDefault="00AB0E56">
      <w:pPr>
        <w:spacing w:before="240" w:after="240" w:line="240" w:lineRule="auto"/>
        <w:jc w:val="center"/>
        <w:rPr>
          <w:rFonts w:ascii=".VnTimeH" w:eastAsia=".VnTimeH" w:hAnsi=".VnTimeH" w:cs=".VnTimeH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QUYẾT ĐỊNH</w:t>
      </w:r>
      <w:r>
        <w:rPr>
          <w:rFonts w:ascii=".VnTimeH" w:eastAsia=".VnTimeH" w:hAnsi=".VnTimeH" w:cs=".VnTimeH"/>
          <w:b/>
          <w:sz w:val="28"/>
        </w:rPr>
        <w:t>:</w:t>
      </w:r>
    </w:p>
    <w:p w:rsidR="009F5C19" w:rsidRDefault="00AB0E5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pacing w:val="-2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1.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Giáo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xứ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Trừng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Hải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chỉ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Phú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Xuân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Phú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Trạch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)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697,9 m</w:t>
      </w:r>
      <w:r>
        <w:rPr>
          <w:rFonts w:ascii="Times New Roman" w:eastAsia="Times New Roman" w:hAnsi="Times New Roman" w:cs="Times New Roman"/>
          <w:b/>
          <w:spacing w:val="-2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Sáu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tr</w:t>
      </w:r>
      <w:r>
        <w:rPr>
          <w:rFonts w:ascii="Times New Roman" w:eastAsia="Times New Roman" w:hAnsi="Times New Roman" w:cs="Times New Roman"/>
          <w:i/>
          <w:spacing w:val="-2"/>
          <w:sz w:val="28"/>
        </w:rPr>
        <w:t>ăm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chín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mươi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bảy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phẩy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chín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mét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vuông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>)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gồm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>: 499,0 m</w:t>
      </w:r>
      <w:r>
        <w:rPr>
          <w:rFonts w:ascii="Times New Roman" w:eastAsia="Times New Roman" w:hAnsi="Times New Roman" w:cs="Times New Roman"/>
          <w:spacing w:val="-2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giáo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dục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đào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tạo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tâm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quỹ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Trạch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198,9 m</w:t>
      </w:r>
      <w:r>
        <w:rPr>
          <w:rFonts w:ascii="Times New Roman" w:eastAsia="Times New Roman" w:hAnsi="Times New Roman" w:cs="Times New Roman"/>
          <w:spacing w:val="-2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bằng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chưa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do UBND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Phú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Phú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Trạch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vào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đích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tôn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giáo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Giáo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>).</w:t>
      </w:r>
    </w:p>
    <w:p w:rsidR="009F5C19" w:rsidRDefault="00AB0E5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Lâu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dài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F5C19" w:rsidRDefault="00AB0E56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Hình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F5C19" w:rsidRDefault="00AB0E5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ranh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thửa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438,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Tờ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65,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12/4/2017,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duyệt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20/4/2017, </w:t>
      </w:r>
      <w:proofErr w:type="spellStart"/>
      <w:r>
        <w:rPr>
          <w:rFonts w:ascii="Times New Roman" w:eastAsia="Times New Roman" w:hAnsi="Times New Roman" w:cs="Times New Roman"/>
          <w:sz w:val="28"/>
        </w:rPr>
        <w:t>kèm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F5C19" w:rsidRDefault="00AB0E5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2.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</w:t>
      </w:r>
      <w:r>
        <w:rPr>
          <w:rFonts w:ascii="Times New Roman" w:eastAsia="Times New Roman" w:hAnsi="Times New Roman" w:cs="Times New Roman"/>
          <w:sz w:val="28"/>
        </w:rPr>
        <w:t>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đây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9F5C19" w:rsidRDefault="00AB0E5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Trừng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nộp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trao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hữu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</w:t>
      </w:r>
      <w:r>
        <w:rPr>
          <w:rFonts w:ascii="Times New Roman" w:eastAsia="Times New Roman" w:hAnsi="Times New Roman" w:cs="Times New Roman"/>
          <w:sz w:val="28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gắn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Trừng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F5C19" w:rsidRDefault="00AB0E5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Giáo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Trừng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đúng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F5C19" w:rsidRDefault="00AB0E5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F5C19" w:rsidRDefault="00AB0E5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3.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9F5C19" w:rsidRDefault="00AB0E5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Chánh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tâm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Linh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Trừng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ban, </w:t>
      </w:r>
      <w:proofErr w:type="spellStart"/>
      <w:r>
        <w:rPr>
          <w:rFonts w:ascii="Times New Roman" w:eastAsia="Times New Roman" w:hAnsi="Times New Roman" w:cs="Times New Roman"/>
          <w:sz w:val="28"/>
        </w:rPr>
        <w:t>ngành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chịu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F5C19" w:rsidRDefault="00AB0E5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Cổng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8"/>
        </w:rPr>
        <w:t>điện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>./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9F5C19" w:rsidRDefault="009F5C1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58"/>
        <w:gridCol w:w="4630"/>
      </w:tblGrid>
      <w:tr w:rsidR="009F5C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C19" w:rsidRDefault="00A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F5C19" w:rsidRDefault="00A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3;    </w:t>
            </w:r>
          </w:p>
          <w:p w:rsidR="009F5C19" w:rsidRDefault="00A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CT,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PCT UBND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          </w:t>
            </w:r>
          </w:p>
          <w:p w:rsidR="009F5C19" w:rsidRDefault="00A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TT Tin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   </w:t>
            </w: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  <w:p w:rsidR="009F5C19" w:rsidRDefault="00AB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VT, CVTNMT.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    </w:t>
            </w:r>
          </w:p>
          <w:p w:rsidR="009F5C19" w:rsidRDefault="00AB0E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</w:t>
            </w:r>
          </w:p>
        </w:tc>
        <w:tc>
          <w:tcPr>
            <w:tcW w:w="4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C19" w:rsidRDefault="00AB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TM. UỶ BAN NHÂN DÂN</w:t>
            </w:r>
          </w:p>
          <w:p w:rsidR="009F5C19" w:rsidRDefault="00AB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KT. CHỦ TỊCH</w:t>
            </w:r>
          </w:p>
          <w:p w:rsidR="009F5C19" w:rsidRDefault="00AB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PHÓ CHỦ TỊCH</w:t>
            </w:r>
          </w:p>
          <w:p w:rsidR="009F5C19" w:rsidRDefault="009F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9F5C19" w:rsidRDefault="009F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9F5C19" w:rsidRDefault="009F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9F5C19" w:rsidRDefault="009F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9F5C19" w:rsidRDefault="00AB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ký</w:t>
            </w:r>
            <w:proofErr w:type="spellEnd"/>
          </w:p>
          <w:p w:rsidR="009F5C19" w:rsidRDefault="009F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F5C19" w:rsidRDefault="009F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9F5C19" w:rsidRDefault="009F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9F5C19" w:rsidRDefault="00AB0E5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Minh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Ngân</w:t>
            </w:r>
            <w:proofErr w:type="spellEnd"/>
          </w:p>
        </w:tc>
      </w:tr>
    </w:tbl>
    <w:p w:rsidR="009F5C19" w:rsidRDefault="009F5C19">
      <w:pPr>
        <w:spacing w:after="240" w:line="240" w:lineRule="auto"/>
        <w:ind w:firstLine="720"/>
        <w:jc w:val="both"/>
        <w:rPr>
          <w:rFonts w:ascii=".VnTime" w:eastAsia=".VnTime" w:hAnsi=".VnTime" w:cs=".VnTime"/>
          <w:sz w:val="28"/>
        </w:rPr>
      </w:pPr>
    </w:p>
    <w:sectPr w:rsidR="009F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5C19"/>
    <w:rsid w:val="009F5C19"/>
    <w:rsid w:val="00AB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2017-07-03T07:31:00Z</dcterms:created>
  <dcterms:modified xsi:type="dcterms:W3CDTF">2017-07-03T07:31:00Z</dcterms:modified>
</cp:coreProperties>
</file>