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4A0"/>
      </w:tblPr>
      <w:tblGrid>
        <w:gridCol w:w="3268"/>
        <w:gridCol w:w="6020"/>
      </w:tblGrid>
      <w:tr w:rsidR="00B32DDF">
        <w:tblPrEx>
          <w:tblCellMar>
            <w:top w:w="0" w:type="dxa"/>
            <w:bottom w:w="0" w:type="dxa"/>
          </w:tblCellMar>
        </w:tblPrEx>
        <w:trPr>
          <w:trHeight w:val="1"/>
        </w:trPr>
        <w:tc>
          <w:tcPr>
            <w:tcW w:w="3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DDF" w:rsidRDefault="004F3CD0">
            <w:pPr>
              <w:rPr>
                <w:rFonts w:ascii="Times New Roman" w:eastAsia="Times New Roman" w:hAnsi="Times New Roman" w:cs="Times New Roman"/>
                <w:b/>
                <w:sz w:val="26"/>
              </w:rPr>
            </w:pPr>
            <w:r>
              <w:rPr>
                <w:rFonts w:ascii="Times New Roman" w:eastAsia="Times New Roman" w:hAnsi="Times New Roman" w:cs="Times New Roman"/>
                <w:b/>
                <w:sz w:val="26"/>
              </w:rPr>
              <w:t xml:space="preserve"> </w:t>
            </w:r>
          </w:p>
          <w:p w:rsidR="00B32DDF" w:rsidRDefault="004F3CD0">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UỶ BAN NHÂN DÂN</w:t>
            </w:r>
          </w:p>
          <w:p w:rsidR="00B32DDF" w:rsidRDefault="004F3CD0">
            <w:pPr>
              <w:spacing w:after="0" w:line="240" w:lineRule="auto"/>
              <w:jc w:val="center"/>
            </w:pPr>
            <w:r>
              <w:rPr>
                <w:rFonts w:ascii="Times New Roman" w:eastAsia="Times New Roman" w:hAnsi="Times New Roman" w:cs="Times New Roman"/>
                <w:b/>
                <w:sz w:val="26"/>
              </w:rPr>
              <w:t>TỈNH QUẢNG BÌNH</w:t>
            </w:r>
          </w:p>
        </w:tc>
        <w:tc>
          <w:tcPr>
            <w:tcW w:w="6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DDF" w:rsidRDefault="004F3CD0">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CỘNG HOÀ XÃ HỘI CHỦ NGHĨA VIỆT NAM</w:t>
            </w:r>
          </w:p>
          <w:p w:rsidR="00B32DDF" w:rsidRDefault="004F3CD0">
            <w:pPr>
              <w:spacing w:after="0" w:line="240" w:lineRule="auto"/>
              <w:jc w:val="center"/>
            </w:pPr>
            <w:r>
              <w:rPr>
                <w:rFonts w:ascii="Times New Roman" w:eastAsia="Times New Roman" w:hAnsi="Times New Roman" w:cs="Times New Roman"/>
                <w:b/>
                <w:sz w:val="27"/>
              </w:rPr>
              <w:t>Độc lập - Tự do - Hạnh phúc</w:t>
            </w:r>
          </w:p>
        </w:tc>
      </w:tr>
      <w:tr w:rsidR="00B32DDF">
        <w:tblPrEx>
          <w:tblCellMar>
            <w:top w:w="0" w:type="dxa"/>
            <w:bottom w:w="0" w:type="dxa"/>
          </w:tblCellMar>
        </w:tblPrEx>
        <w:trPr>
          <w:trHeight w:val="1"/>
        </w:trPr>
        <w:tc>
          <w:tcPr>
            <w:tcW w:w="3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DDF" w:rsidRDefault="004F3CD0" w:rsidP="004F3CD0">
            <w:pPr>
              <w:spacing w:before="120" w:after="120" w:line="240" w:lineRule="auto"/>
              <w:jc w:val="center"/>
            </w:pPr>
            <w:r>
              <w:rPr>
                <w:rFonts w:ascii="Times New Roman" w:eastAsia="Times New Roman" w:hAnsi="Times New Roman" w:cs="Times New Roman"/>
                <w:sz w:val="27"/>
              </w:rPr>
              <w:t>Số:  1709</w:t>
            </w:r>
            <w:r>
              <w:rPr>
                <w:rFonts w:ascii="Times New Roman" w:eastAsia="Times New Roman" w:hAnsi="Times New Roman" w:cs="Times New Roman"/>
                <w:sz w:val="27"/>
              </w:rPr>
              <w:t>/QĐ-UBND</w:t>
            </w:r>
          </w:p>
        </w:tc>
        <w:tc>
          <w:tcPr>
            <w:tcW w:w="6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DDF" w:rsidRDefault="004F3CD0">
            <w:pPr>
              <w:spacing w:before="120" w:after="120" w:line="240" w:lineRule="auto"/>
              <w:jc w:val="center"/>
            </w:pPr>
            <w:r>
              <w:rPr>
                <w:rFonts w:ascii="Times New Roman" w:eastAsia="Times New Roman" w:hAnsi="Times New Roman" w:cs="Times New Roman"/>
                <w:i/>
                <w:sz w:val="27"/>
              </w:rPr>
              <w:t>Quảng Bình, ngày  18 tháng   5 năm 2017</w:t>
            </w:r>
          </w:p>
        </w:tc>
      </w:tr>
    </w:tbl>
    <w:p w:rsidR="00B32DDF" w:rsidRDefault="004F3CD0">
      <w:pPr>
        <w:spacing w:before="240"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QUYẾT ĐỊNH </w:t>
      </w:r>
    </w:p>
    <w:p w:rsidR="00B32DDF" w:rsidRDefault="004F3CD0">
      <w:pPr>
        <w:spacing w:after="120" w:line="240" w:lineRule="auto"/>
        <w:jc w:val="center"/>
        <w:rPr>
          <w:rFonts w:ascii="Times New Roman" w:eastAsia="Times New Roman" w:hAnsi="Times New Roman" w:cs="Times New Roman"/>
          <w:b/>
          <w:spacing w:val="-6"/>
          <w:sz w:val="28"/>
        </w:rPr>
      </w:pPr>
      <w:r>
        <w:rPr>
          <w:rFonts w:ascii="Times New Roman" w:eastAsia="Times New Roman" w:hAnsi="Times New Roman" w:cs="Times New Roman"/>
          <w:b/>
          <w:spacing w:val="-6"/>
          <w:sz w:val="28"/>
        </w:rPr>
        <w:t xml:space="preserve">Về việc thu hồi </w:t>
      </w:r>
      <w:r>
        <w:rPr>
          <w:rFonts w:ascii="Times New Roman" w:eastAsia="Times New Roman" w:hAnsi="Times New Roman" w:cs="Times New Roman"/>
          <w:b/>
          <w:spacing w:val="-6"/>
          <w:sz w:val="28"/>
        </w:rPr>
        <w:t xml:space="preserve">đất, chuyển mục đích sử dụng đất và cho Công ty Cổ phần </w:t>
      </w:r>
      <w:r>
        <w:rPr>
          <w:rFonts w:ascii="Times New Roman" w:eastAsia="Times New Roman" w:hAnsi="Times New Roman" w:cs="Times New Roman"/>
          <w:b/>
          <w:spacing w:val="-6"/>
          <w:sz w:val="28"/>
        </w:rPr>
        <w:br/>
        <w:t xml:space="preserve">Đầu tư DKC Hòn La thuê đất để xây dựng Kho xăng dầu DKC Hòn La </w:t>
      </w:r>
      <w:r>
        <w:rPr>
          <w:rFonts w:ascii="Times New Roman" w:eastAsia="Times New Roman" w:hAnsi="Times New Roman" w:cs="Times New Roman"/>
          <w:b/>
          <w:spacing w:val="-6"/>
          <w:sz w:val="28"/>
        </w:rPr>
        <w:br/>
        <w:t>tại xã Quảng Đông, huyện Quảng Trạch</w:t>
      </w:r>
    </w:p>
    <w:p w:rsidR="00B32DDF" w:rsidRDefault="004F3CD0">
      <w:pPr>
        <w:spacing w:before="360" w:after="24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UỶ BAN NHÂN DÂN TỈNH QUẢNG BÌNH</w:t>
      </w:r>
    </w:p>
    <w:p w:rsidR="00B32DDF" w:rsidRDefault="004F3CD0">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Căn cứ Luật Tổ chức chính quyền địa phương ngày 19 tháng 6 n</w:t>
      </w:r>
      <w:r>
        <w:rPr>
          <w:rFonts w:ascii="Times New Roman" w:eastAsia="Times New Roman" w:hAnsi="Times New Roman" w:cs="Times New Roman"/>
          <w:sz w:val="28"/>
        </w:rPr>
        <w:t>ăm 2015;</w:t>
      </w:r>
    </w:p>
    <w:p w:rsidR="00B32DDF" w:rsidRDefault="004F3CD0">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Căn cứ Luật Đất đai ngày 29 tháng 11 năm 2013;</w:t>
      </w:r>
    </w:p>
    <w:p w:rsidR="00B32DDF" w:rsidRDefault="004F3CD0">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Căn cứ Nghị định số 43/2014/NĐ-CP ngày 15 tháng 5 năm 2014 của Chính phủ Quy định chi tiết thi hành một số điều của Luật Đất đai;</w:t>
      </w:r>
    </w:p>
    <w:p w:rsidR="00B32DDF" w:rsidRDefault="004F3CD0">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Căn cứ Nghị định số 44/2014/NĐ-CP ngày 15 tháng 5 năm 2014 của Chính p</w:t>
      </w:r>
      <w:r>
        <w:rPr>
          <w:rFonts w:ascii="Times New Roman" w:eastAsia="Times New Roman" w:hAnsi="Times New Roman" w:cs="Times New Roman"/>
          <w:sz w:val="28"/>
        </w:rPr>
        <w:t>hủ quy định về giá đất;</w:t>
      </w:r>
    </w:p>
    <w:p w:rsidR="00B32DDF" w:rsidRDefault="004F3CD0">
      <w:pPr>
        <w:spacing w:after="0" w:line="240" w:lineRule="auto"/>
        <w:ind w:firstLine="567"/>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Căn cứ Nghị định số 01/2017/NĐ-CP ngày 06 tháng 01 năm 2017 của Chính phủ sửa đổi, bổ sung một số Nghị định quy định chi tiết thi hành Luật Đất đai;</w:t>
      </w:r>
    </w:p>
    <w:p w:rsidR="00B32DDF" w:rsidRDefault="004F3CD0">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Căn cứ Thông tư số 30/2014/TT-BTNMT ngày 02 tháng 6 năm 2014 của Bộ Tài nguyên và M</w:t>
      </w:r>
      <w:r>
        <w:rPr>
          <w:rFonts w:ascii="Times New Roman" w:eastAsia="Times New Roman" w:hAnsi="Times New Roman" w:cs="Times New Roman"/>
          <w:sz w:val="28"/>
        </w:rPr>
        <w:t>ôi trường quy định về hồ sơ giao đất, cho thuê đất, chuyển mục đích sử dụng đất, thu hồi đất;</w:t>
      </w:r>
    </w:p>
    <w:p w:rsidR="00B32DDF" w:rsidRDefault="004F3CD0">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Căn cứ Thông tư liên tịch số 88/2016/TTLT/BTC-BTNMT ngày 22 tháng 6 năm 2016 của Bộ Tài chính, Bộ Tài nguyên và Môi trường quy định về hồ sơ và trình tự, thủ tục </w:t>
      </w:r>
      <w:r>
        <w:rPr>
          <w:rFonts w:ascii="Times New Roman" w:eastAsia="Times New Roman" w:hAnsi="Times New Roman" w:cs="Times New Roman"/>
          <w:sz w:val="28"/>
        </w:rPr>
        <w:t>tiếp nhận, luân chuyển hồ sơ xác định nghĩa vụ tài chính về đất đai của người sử dụng đất;</w:t>
      </w:r>
    </w:p>
    <w:p w:rsidR="00B32DDF" w:rsidRDefault="004F3CD0">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Căn cứ Quyết định số 3082/QĐ-UBND ngày 30 tháng 10 năm 2014 của Ủy ban nhân dân tỉnh Quảng Bình về việc phê duyệt kết quả bán đấu giá tài sản của Khu neo đậu tránh t</w:t>
      </w:r>
      <w:r>
        <w:rPr>
          <w:rFonts w:ascii="Times New Roman" w:eastAsia="Times New Roman" w:hAnsi="Times New Roman" w:cs="Times New Roman"/>
          <w:sz w:val="28"/>
        </w:rPr>
        <w:t>rú bão và dịch vụ hậu cần nghề cá Hòn La;</w:t>
      </w:r>
    </w:p>
    <w:p w:rsidR="00B32DDF" w:rsidRDefault="004F3CD0">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Căn cứ Công văn số 1058/UBND-KTTH ngày 07 tháng 7 năm 2016 của Ủy ban nhân dân tỉnh Quảng Bình về việc chuyển giao toàn bộ quyền và nghĩa vụ kèm theo đối với việc mua tài sản trúng đấu giá;</w:t>
      </w:r>
    </w:p>
    <w:p w:rsidR="00B32DDF" w:rsidRDefault="004F3CD0">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Căn cứ Quyết định số 469</w:t>
      </w:r>
      <w:r>
        <w:rPr>
          <w:rFonts w:ascii="Times New Roman" w:eastAsia="Times New Roman" w:hAnsi="Times New Roman" w:cs="Times New Roman"/>
          <w:sz w:val="28"/>
        </w:rPr>
        <w:t>/QĐ-UBND ngày 21 tháng 4 năm 2017 của Ban quản lý Khu kinh tế tỉnh về việc chấp thuận chủ trương đầu tư dự án Kho xăng dầu DKC Hòn La;</w:t>
      </w:r>
    </w:p>
    <w:p w:rsidR="00B32DDF" w:rsidRDefault="004F3CD0">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Xét đề nghị của Giám đốc Sở Tài nguyên và Môi trường tại Tờ trình số 224/TTr-STNMT ngày 04 tháng 5 năm 2017,             </w:t>
      </w:r>
      <w:r>
        <w:rPr>
          <w:rFonts w:ascii="Times New Roman" w:eastAsia="Times New Roman" w:hAnsi="Times New Roman" w:cs="Times New Roman"/>
          <w:sz w:val="28"/>
        </w:rPr>
        <w:t xml:space="preserve">                                   </w:t>
      </w:r>
    </w:p>
    <w:p w:rsidR="00B32DDF" w:rsidRDefault="004F3CD0">
      <w:pPr>
        <w:spacing w:before="120"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QUYẾT ĐỊNH:</w:t>
      </w:r>
    </w:p>
    <w:p w:rsidR="00B32DDF" w:rsidRDefault="004F3CD0">
      <w:pPr>
        <w:spacing w:after="0" w:line="264"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Điều 1. </w:t>
      </w:r>
    </w:p>
    <w:p w:rsidR="00B32DDF" w:rsidRDefault="004F3CD0">
      <w:pPr>
        <w:spacing w:after="0" w:line="264"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1. Thu hồi </w:t>
      </w:r>
      <w:r>
        <w:rPr>
          <w:rFonts w:ascii="Times New Roman" w:eastAsia="Times New Roman" w:hAnsi="Times New Roman" w:cs="Times New Roman"/>
          <w:b/>
          <w:spacing w:val="-2"/>
          <w:sz w:val="28"/>
        </w:rPr>
        <w:t>39.720,8 m</w:t>
      </w:r>
      <w:r>
        <w:rPr>
          <w:rFonts w:ascii="Times New Roman" w:eastAsia="Times New Roman" w:hAnsi="Times New Roman" w:cs="Times New Roman"/>
          <w:b/>
          <w:spacing w:val="-2"/>
          <w:sz w:val="28"/>
          <w:vertAlign w:val="superscript"/>
        </w:rPr>
        <w:t>2</w:t>
      </w:r>
      <w:r>
        <w:rPr>
          <w:rFonts w:ascii="Times New Roman" w:eastAsia="Times New Roman" w:hAnsi="Times New Roman" w:cs="Times New Roman"/>
          <w:spacing w:val="-2"/>
          <w:sz w:val="28"/>
        </w:rPr>
        <w:t xml:space="preserve"> </w:t>
      </w:r>
      <w:r>
        <w:rPr>
          <w:rFonts w:ascii="Times New Roman" w:eastAsia="Times New Roman" w:hAnsi="Times New Roman" w:cs="Times New Roman"/>
          <w:i/>
          <w:spacing w:val="-2"/>
          <w:sz w:val="28"/>
        </w:rPr>
        <w:t xml:space="preserve">(Ba mươi chín nghìn bảy trăm hai mươi phẩy tám mét vuông) </w:t>
      </w:r>
      <w:r>
        <w:rPr>
          <w:rFonts w:ascii="Times New Roman" w:eastAsia="Times New Roman" w:hAnsi="Times New Roman" w:cs="Times New Roman"/>
          <w:sz w:val="28"/>
        </w:rPr>
        <w:t>đất khu công nghiệp do Ban quản lý Cảng cá Sông Gianh sử dụng tại xã Quảng Đông, huyện Quảng Trạch.</w:t>
      </w:r>
    </w:p>
    <w:p w:rsidR="00B32DDF" w:rsidRDefault="004F3CD0">
      <w:pPr>
        <w:spacing w:after="120" w:line="264" w:lineRule="auto"/>
        <w:ind w:firstLine="720"/>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Lý do thu hồi: Ban quản lý Cảng cá Sông Gianh đã bán đấu giá tài sản trên đất và tự nguyện trả lại đất.</w:t>
      </w:r>
    </w:p>
    <w:p w:rsidR="00B32DDF" w:rsidRDefault="004F3CD0">
      <w:pPr>
        <w:spacing w:after="120" w:line="264"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Vị trí, kích thước, ranh giới khu đất được xác định theo kết quả trích lục bản đồ địa chính thửa đất số 4 thuộc tờ bản đồ địa chính số 33 và thửa đất số</w:t>
      </w:r>
      <w:r>
        <w:rPr>
          <w:rFonts w:ascii="Times New Roman" w:eastAsia="Times New Roman" w:hAnsi="Times New Roman" w:cs="Times New Roman"/>
          <w:sz w:val="28"/>
        </w:rPr>
        <w:t xml:space="preserve"> 45 thuộc tờ bản đồ địa chính số 27, xã Quảng Đông do Văn phòng Đăng ký quyền sử dụng đất lập ngày 21/3/2017, kèm theo Quyết định này.</w:t>
      </w:r>
    </w:p>
    <w:p w:rsidR="00B32DDF" w:rsidRDefault="004F3CD0">
      <w:pPr>
        <w:spacing w:after="120" w:line="264"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2. Chuyển mục đích sử dụng </w:t>
      </w:r>
      <w:r>
        <w:rPr>
          <w:rFonts w:ascii="Times New Roman" w:eastAsia="Times New Roman" w:hAnsi="Times New Roman" w:cs="Times New Roman"/>
          <w:b/>
          <w:spacing w:val="-2"/>
          <w:sz w:val="28"/>
        </w:rPr>
        <w:t>39.720,8 m</w:t>
      </w:r>
      <w:r>
        <w:rPr>
          <w:rFonts w:ascii="Times New Roman" w:eastAsia="Times New Roman" w:hAnsi="Times New Roman" w:cs="Times New Roman"/>
          <w:b/>
          <w:spacing w:val="-2"/>
          <w:sz w:val="28"/>
          <w:vertAlign w:val="superscript"/>
        </w:rPr>
        <w:t>2</w:t>
      </w:r>
      <w:r>
        <w:rPr>
          <w:rFonts w:ascii="Times New Roman" w:eastAsia="Times New Roman" w:hAnsi="Times New Roman" w:cs="Times New Roman"/>
          <w:spacing w:val="-2"/>
          <w:sz w:val="28"/>
        </w:rPr>
        <w:t xml:space="preserve"> </w:t>
      </w:r>
      <w:r>
        <w:rPr>
          <w:rFonts w:ascii="Times New Roman" w:eastAsia="Times New Roman" w:hAnsi="Times New Roman" w:cs="Times New Roman"/>
          <w:i/>
          <w:spacing w:val="-2"/>
          <w:sz w:val="28"/>
        </w:rPr>
        <w:t>(Ba mươi chín nghìn bảy trăm hai mươi phẩy tám mét vuông)</w:t>
      </w:r>
      <w:r>
        <w:rPr>
          <w:rFonts w:ascii="Times New Roman" w:eastAsia="Times New Roman" w:hAnsi="Times New Roman" w:cs="Times New Roman"/>
          <w:sz w:val="28"/>
        </w:rPr>
        <w:t xml:space="preserve"> đất phi nông nghiệp được</w:t>
      </w:r>
      <w:r>
        <w:rPr>
          <w:rFonts w:ascii="Times New Roman" w:eastAsia="Times New Roman" w:hAnsi="Times New Roman" w:cs="Times New Roman"/>
          <w:sz w:val="28"/>
        </w:rPr>
        <w:t xml:space="preserve"> Nhà nước giao đất không thu tiền sử dụng đất đã thu hồi tại khoản 1 Điều này sang đất phi nông nghiệp được Nhà nước cho thuê đất. </w:t>
      </w:r>
    </w:p>
    <w:p w:rsidR="00B32DDF" w:rsidRDefault="004F3CD0">
      <w:pPr>
        <w:spacing w:after="0" w:line="264"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3. Cho Công ty Cổ phần Đầu tư DKC Hòn La (địa chỉ: thôn Thọ Sơn, xã Quảng Đông, huyện Quảng Trạch, tỉnh Quảng Bình) thuê </w:t>
      </w:r>
      <w:r>
        <w:rPr>
          <w:rFonts w:ascii="Times New Roman" w:eastAsia="Times New Roman" w:hAnsi="Times New Roman" w:cs="Times New Roman"/>
          <w:b/>
          <w:spacing w:val="-2"/>
          <w:sz w:val="28"/>
        </w:rPr>
        <w:t>39.</w:t>
      </w:r>
      <w:r>
        <w:rPr>
          <w:rFonts w:ascii="Times New Roman" w:eastAsia="Times New Roman" w:hAnsi="Times New Roman" w:cs="Times New Roman"/>
          <w:b/>
          <w:spacing w:val="-2"/>
          <w:sz w:val="28"/>
        </w:rPr>
        <w:t>720,8 m</w:t>
      </w:r>
      <w:r>
        <w:rPr>
          <w:rFonts w:ascii="Times New Roman" w:eastAsia="Times New Roman" w:hAnsi="Times New Roman" w:cs="Times New Roman"/>
          <w:b/>
          <w:spacing w:val="-2"/>
          <w:sz w:val="28"/>
          <w:vertAlign w:val="superscript"/>
        </w:rPr>
        <w:t>2</w:t>
      </w:r>
      <w:r>
        <w:rPr>
          <w:rFonts w:ascii="Times New Roman" w:eastAsia="Times New Roman" w:hAnsi="Times New Roman" w:cs="Times New Roman"/>
          <w:spacing w:val="-2"/>
          <w:sz w:val="28"/>
        </w:rPr>
        <w:t xml:space="preserve"> </w:t>
      </w:r>
      <w:r>
        <w:rPr>
          <w:rFonts w:ascii="Times New Roman" w:eastAsia="Times New Roman" w:hAnsi="Times New Roman" w:cs="Times New Roman"/>
          <w:i/>
          <w:spacing w:val="-2"/>
          <w:sz w:val="28"/>
        </w:rPr>
        <w:t xml:space="preserve">(Ba mươi chín nghìn bảy trăm hai mươi phẩy tám mét vuông) </w:t>
      </w:r>
      <w:r>
        <w:rPr>
          <w:rFonts w:ascii="Times New Roman" w:eastAsia="Times New Roman" w:hAnsi="Times New Roman" w:cs="Times New Roman"/>
          <w:sz w:val="28"/>
        </w:rPr>
        <w:t>đất chuyển mục đích tại khoản 2 Điều này để sử dụng vào mục đích đất khu công nghiệp (</w:t>
      </w:r>
      <w:r>
        <w:rPr>
          <w:rFonts w:ascii="Times New Roman" w:eastAsia="Times New Roman" w:hAnsi="Times New Roman" w:cs="Times New Roman"/>
          <w:spacing w:val="-2"/>
          <w:sz w:val="28"/>
        </w:rPr>
        <w:t>xây dựng Kho xăng dầu DKC Hòn La</w:t>
      </w:r>
      <w:r>
        <w:rPr>
          <w:rFonts w:ascii="Times New Roman" w:eastAsia="Times New Roman" w:hAnsi="Times New Roman" w:cs="Times New Roman"/>
          <w:sz w:val="28"/>
        </w:rPr>
        <w:t>).</w:t>
      </w:r>
    </w:p>
    <w:p w:rsidR="00B32DDF" w:rsidRDefault="004F3CD0">
      <w:pPr>
        <w:spacing w:after="120" w:line="264"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Thời hạn sử dụng đất: Đến ngày 21 tháng 4 năm 2067;</w:t>
      </w:r>
    </w:p>
    <w:p w:rsidR="00B32DDF" w:rsidRDefault="004F3CD0">
      <w:pPr>
        <w:spacing w:after="120" w:line="264"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Vị trí, kích th</w:t>
      </w:r>
      <w:r>
        <w:rPr>
          <w:rFonts w:ascii="Times New Roman" w:eastAsia="Times New Roman" w:hAnsi="Times New Roman" w:cs="Times New Roman"/>
          <w:sz w:val="28"/>
        </w:rPr>
        <w:t>ước, ranh giới khu đất được xác định theo kết quả chỉnh lý địa chính thửa đất số 17 thuộc tờ bản đồ địa chính số 33, xã Quảng Đông do Văn phòng Đăng ký quyền sử dụng đất lập ngày 24/3/2017, kèm theo Quyết định này.</w:t>
      </w:r>
    </w:p>
    <w:p w:rsidR="00B32DDF" w:rsidRDefault="004F3CD0">
      <w:pPr>
        <w:tabs>
          <w:tab w:val="left" w:pos="6720"/>
        </w:tabs>
        <w:spacing w:after="0" w:line="264"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Hình thức thuê đất: Trả tiền thuê đất h</w:t>
      </w:r>
      <w:r>
        <w:rPr>
          <w:rFonts w:ascii="Times New Roman" w:eastAsia="Times New Roman" w:hAnsi="Times New Roman" w:cs="Times New Roman"/>
          <w:sz w:val="28"/>
        </w:rPr>
        <w:t>àng năm.</w:t>
      </w:r>
    </w:p>
    <w:p w:rsidR="00B32DDF" w:rsidRDefault="004F3CD0">
      <w:pPr>
        <w:spacing w:after="120" w:line="264" w:lineRule="auto"/>
        <w:ind w:firstLine="720"/>
        <w:jc w:val="both"/>
        <w:rPr>
          <w:rFonts w:ascii="Times New Roman" w:eastAsia="Times New Roman" w:hAnsi="Times New Roman" w:cs="Times New Roman"/>
          <w:sz w:val="28"/>
        </w:rPr>
      </w:pPr>
      <w:r>
        <w:rPr>
          <w:rFonts w:ascii="Times New Roman" w:eastAsia="Times New Roman" w:hAnsi="Times New Roman" w:cs="Times New Roman"/>
          <w:b/>
          <w:spacing w:val="-6"/>
          <w:sz w:val="28"/>
        </w:rPr>
        <w:t>Điều 2.</w:t>
      </w:r>
      <w:r>
        <w:rPr>
          <w:rFonts w:ascii="Times New Roman" w:eastAsia="Times New Roman" w:hAnsi="Times New Roman" w:cs="Times New Roman"/>
          <w:spacing w:val="-6"/>
          <w:sz w:val="28"/>
        </w:rPr>
        <w:t xml:space="preserve"> </w:t>
      </w:r>
      <w:r>
        <w:rPr>
          <w:rFonts w:ascii="Times New Roman" w:eastAsia="Times New Roman" w:hAnsi="Times New Roman" w:cs="Times New Roman"/>
          <w:sz w:val="28"/>
        </w:rPr>
        <w:t>Giao nhiệm vụ cho các cơ quan, tổ chức thực hiện các công việc sau đây:</w:t>
      </w:r>
    </w:p>
    <w:p w:rsidR="00B32DDF" w:rsidRDefault="004F3CD0">
      <w:pPr>
        <w:spacing w:after="120" w:line="264"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1. Sở Tài nguyên và Môi trường có trách nhiệm: </w:t>
      </w:r>
    </w:p>
    <w:p w:rsidR="00B32DDF" w:rsidRDefault="004F3CD0">
      <w:pPr>
        <w:spacing w:after="120" w:line="264"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Chủ trì xác định phương pháp định giá đất cụ thể để tính tiền thuê đất; Trường hợp áp dụng phương pháp so sánh trực t</w:t>
      </w:r>
      <w:r>
        <w:rPr>
          <w:rFonts w:ascii="Times New Roman" w:eastAsia="Times New Roman" w:hAnsi="Times New Roman" w:cs="Times New Roman"/>
          <w:sz w:val="28"/>
        </w:rPr>
        <w:t>iếp, thu nhập, chiết trừ, thặng dư thì tổ chức lập phương án giá đất gửi Hội đồng thẩm định giá đất tỉnh để thẩm định, trình Ủy ban nhân dân tỉnh phê duyệt giá đất cụ thể; Trường hợp áp dụng phương pháp hệ số điều chỉnh giá đất thì chỉ đạo Văn phòng Đăng k</w:t>
      </w:r>
      <w:r>
        <w:rPr>
          <w:rFonts w:ascii="Times New Roman" w:eastAsia="Times New Roman" w:hAnsi="Times New Roman" w:cs="Times New Roman"/>
          <w:sz w:val="28"/>
        </w:rPr>
        <w:t xml:space="preserve">ý quyền sử </w:t>
      </w:r>
      <w:r>
        <w:rPr>
          <w:rFonts w:ascii="Times New Roman" w:eastAsia="Times New Roman" w:hAnsi="Times New Roman" w:cs="Times New Roman"/>
          <w:sz w:val="28"/>
        </w:rPr>
        <w:lastRenderedPageBreak/>
        <w:t xml:space="preserve">dụng đất chuyển thông tin địa chính để Cục Thuế xác định nghĩa vụ tài chính cho Công ty Cổ phần Đầu tư DKC Hòn La. </w:t>
      </w:r>
    </w:p>
    <w:p w:rsidR="00B32DDF" w:rsidRDefault="004F3CD0">
      <w:pPr>
        <w:spacing w:after="120" w:line="264"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Thông báo cho Công ty Cổ phần Đầu tư DKC Hòn La nộp phí và lệ phí theo quy định của pháp luật; ký hợp đồng thuê đất; xác định c</w:t>
      </w:r>
      <w:r>
        <w:rPr>
          <w:rFonts w:ascii="Times New Roman" w:eastAsia="Times New Roman" w:hAnsi="Times New Roman" w:cs="Times New Roman"/>
          <w:sz w:val="28"/>
        </w:rPr>
        <w:t xml:space="preserve">ụ thể mốc giới và bàn giao đất trên thực địa; trao Giấy chứng nhận quyền sử dụng đất, quyền sở hữu nhà ở và tài sản khác gắn liền với đất cho Công ty Cổ phần Đầu tư DKC Hòn La sau khi đơn vị đã hoàn thành nghĩa vụ tài chính theo quy định; tổ chức chỉnh lý </w:t>
      </w:r>
      <w:r>
        <w:rPr>
          <w:rFonts w:ascii="Times New Roman" w:eastAsia="Times New Roman" w:hAnsi="Times New Roman" w:cs="Times New Roman"/>
          <w:sz w:val="28"/>
        </w:rPr>
        <w:t>hồ sơ địa chính.</w:t>
      </w:r>
    </w:p>
    <w:p w:rsidR="00B32DDF" w:rsidRDefault="004F3CD0">
      <w:pPr>
        <w:spacing w:after="120" w:line="264"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 Cục Thuế tỉnh xác định các khoản nghĩa vụ tài chính và thông báo cho Công ty Cổ phần Đầu tư DKC Hòn La thực hiện theo quy định của pháp luật.</w:t>
      </w:r>
    </w:p>
    <w:p w:rsidR="00B32DDF" w:rsidRDefault="004F3CD0">
      <w:pPr>
        <w:spacing w:after="120" w:line="264"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3. Công ty Cổ phần Đầu tư DKC Hòn La có trách nhiệm thanh toán số tiền trúng đấu giá tài sản t</w:t>
      </w:r>
      <w:r>
        <w:rPr>
          <w:rFonts w:ascii="Times New Roman" w:eastAsia="Times New Roman" w:hAnsi="Times New Roman" w:cs="Times New Roman"/>
          <w:sz w:val="28"/>
        </w:rPr>
        <w:t>heo đúng thời hạn quy định và lập Báo cáo đánh giá tác động môi trường trình cấp thẩm quyền phê duyệt trước khi thực hiện dự án.</w:t>
      </w:r>
    </w:p>
    <w:p w:rsidR="00B32DDF" w:rsidRDefault="004F3CD0">
      <w:pPr>
        <w:spacing w:after="120" w:line="264"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4. Văn phòng Đăng ký quyền sử dụng đất thuộc Sở Tài nguyên và Môi trường có trách nhiệm chỉnh lý hồ sơ địa chính theo quy định.</w:t>
      </w:r>
    </w:p>
    <w:p w:rsidR="00B32DDF" w:rsidRDefault="004F3CD0">
      <w:pPr>
        <w:spacing w:after="120" w:line="264"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Điều 3. </w:t>
      </w:r>
      <w:r>
        <w:rPr>
          <w:rFonts w:ascii="Times New Roman" w:eastAsia="Times New Roman" w:hAnsi="Times New Roman" w:cs="Times New Roman"/>
          <w:sz w:val="28"/>
        </w:rPr>
        <w:t>Quyết định này có hiệu lực kể từ ngày ký.</w:t>
      </w:r>
    </w:p>
    <w:p w:rsidR="00B32DDF" w:rsidRDefault="004F3CD0">
      <w:pPr>
        <w:spacing w:after="120" w:line="264"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Chánh Văn phòng UBND tỉnh, Giám đốc các Sở: Tài nguyên và Môi trường, Tài chính, Xây dựng; Cục trưởng Cục thuế; Trưởng Ban quản lý Khu kinh tế; Chủ tịch UBND huyện Quảng Trạch; Chủ tịch UBND xã Quảng Đông;</w:t>
      </w:r>
      <w:r>
        <w:rPr>
          <w:rFonts w:ascii="Times New Roman" w:eastAsia="Times New Roman" w:hAnsi="Times New Roman" w:cs="Times New Roman"/>
          <w:sz w:val="28"/>
        </w:rPr>
        <w:t xml:space="preserve"> Giám đốc Văn phòng Đăng ký quyền sử dụng đất thuộc Sở Tài nguyên và Môi trường; Giám đốc Ban quản lý Cảng cá Sông Gianh; Giám đốc Công ty Cổ phần Đầu tư DKC Hòn La và Thủ trưởng các sở, ban, ngành có liên quan chịu trách nhiệm thi hành quyết định này.</w:t>
      </w:r>
    </w:p>
    <w:p w:rsidR="00B32DDF" w:rsidRDefault="004F3CD0">
      <w:pPr>
        <w:spacing w:after="240" w:line="264"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Văn</w:t>
      </w:r>
      <w:r>
        <w:rPr>
          <w:rFonts w:ascii="Times New Roman" w:eastAsia="Times New Roman" w:hAnsi="Times New Roman" w:cs="Times New Roman"/>
          <w:sz w:val="28"/>
        </w:rPr>
        <w:t xml:space="preserve"> phòng UBND tỉnh đưa quyết định này lên Cổng thông tin điện tử của UBND tỉnh./.</w:t>
      </w:r>
    </w:p>
    <w:tbl>
      <w:tblPr>
        <w:tblW w:w="0" w:type="auto"/>
        <w:tblInd w:w="98" w:type="dxa"/>
        <w:tblCellMar>
          <w:left w:w="10" w:type="dxa"/>
          <w:right w:w="10" w:type="dxa"/>
        </w:tblCellMar>
        <w:tblLook w:val="04A0"/>
      </w:tblPr>
      <w:tblGrid>
        <w:gridCol w:w="4660"/>
        <w:gridCol w:w="4628"/>
      </w:tblGrid>
      <w:tr w:rsidR="00B32DDF">
        <w:tblPrEx>
          <w:tblCellMar>
            <w:top w:w="0" w:type="dxa"/>
            <w:bottom w:w="0" w:type="dxa"/>
          </w:tblCellMar>
        </w:tblPrEx>
        <w:trPr>
          <w:trHeight w:val="1526"/>
        </w:trPr>
        <w:tc>
          <w:tcPr>
            <w:tcW w:w="4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32DDF" w:rsidRDefault="004F3CD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i/>
                <w:sz w:val="24"/>
              </w:rPr>
              <w:t>Nơi nhận:</w:t>
            </w:r>
            <w:r>
              <w:rPr>
                <w:rFonts w:ascii="Times New Roman" w:eastAsia="Times New Roman" w:hAnsi="Times New Roman" w:cs="Times New Roman"/>
                <w:sz w:val="28"/>
              </w:rPr>
              <w:t xml:space="preserve"> </w:t>
            </w:r>
          </w:p>
          <w:p w:rsidR="00B32DDF" w:rsidRDefault="004F3C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Như Điều 3;</w:t>
            </w:r>
          </w:p>
          <w:p w:rsidR="00B32DDF" w:rsidRDefault="004F3C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CT, các PCT UBND tỉnh;</w:t>
            </w:r>
          </w:p>
          <w:p w:rsidR="00B32DDF" w:rsidRDefault="004F3C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Trung tâm THCB – VPUBND tỉnh;                                                                                                                                                                                   </w:t>
            </w:r>
          </w:p>
          <w:p w:rsidR="00B32DDF" w:rsidRDefault="004F3CD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rPr>
              <w:t>- Lưu VT, CVTNMT.</w:t>
            </w: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p>
          <w:p w:rsidR="00B32DDF" w:rsidRDefault="004F3CD0">
            <w:pPr>
              <w:spacing w:after="0" w:line="240" w:lineRule="auto"/>
              <w:jc w:val="both"/>
            </w:pPr>
            <w:r>
              <w:rPr>
                <w:rFonts w:ascii="Times New Roman" w:eastAsia="Times New Roman" w:hAnsi="Times New Roman" w:cs="Times New Roman"/>
                <w:sz w:val="28"/>
              </w:rPr>
              <w:t xml:space="preserve">                                                                 </w:t>
            </w:r>
          </w:p>
        </w:tc>
        <w:tc>
          <w:tcPr>
            <w:tcW w:w="46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32DDF" w:rsidRDefault="004F3CD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6"/>
              </w:rPr>
              <w:t>TM. UỶ BAN NHÂN DÂN</w:t>
            </w:r>
          </w:p>
          <w:p w:rsidR="00B32DDF" w:rsidRDefault="004F3CD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6"/>
              </w:rPr>
              <w:t>KT. CHỦ TỊCH</w:t>
            </w:r>
          </w:p>
          <w:p w:rsidR="00B32DDF" w:rsidRDefault="004F3CD0">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PHÓ CHỦ TỊCH</w:t>
            </w:r>
          </w:p>
          <w:p w:rsidR="00B32DDF" w:rsidRDefault="00B32DDF">
            <w:pPr>
              <w:spacing w:after="0" w:line="240" w:lineRule="auto"/>
              <w:jc w:val="center"/>
              <w:rPr>
                <w:rFonts w:ascii="Times New Roman" w:eastAsia="Times New Roman" w:hAnsi="Times New Roman" w:cs="Times New Roman"/>
                <w:b/>
                <w:sz w:val="26"/>
              </w:rPr>
            </w:pPr>
          </w:p>
          <w:p w:rsidR="00B32DDF" w:rsidRDefault="00B32DDF">
            <w:pPr>
              <w:spacing w:after="0" w:line="240" w:lineRule="auto"/>
              <w:jc w:val="center"/>
              <w:rPr>
                <w:rFonts w:ascii="Times New Roman" w:eastAsia="Times New Roman" w:hAnsi="Times New Roman" w:cs="Times New Roman"/>
                <w:b/>
                <w:sz w:val="26"/>
              </w:rPr>
            </w:pPr>
          </w:p>
          <w:p w:rsidR="00B32DDF" w:rsidRDefault="00B32DDF">
            <w:pPr>
              <w:spacing w:after="0" w:line="240" w:lineRule="auto"/>
              <w:jc w:val="center"/>
              <w:rPr>
                <w:rFonts w:ascii="Times New Roman" w:eastAsia="Times New Roman" w:hAnsi="Times New Roman" w:cs="Times New Roman"/>
                <w:b/>
                <w:sz w:val="26"/>
              </w:rPr>
            </w:pPr>
          </w:p>
          <w:p w:rsidR="00B32DDF" w:rsidRDefault="004F3CD0">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Đã ký</w:t>
            </w:r>
          </w:p>
          <w:p w:rsidR="00B32DDF" w:rsidRDefault="00B32DDF">
            <w:pPr>
              <w:spacing w:after="0" w:line="240" w:lineRule="auto"/>
              <w:jc w:val="center"/>
              <w:rPr>
                <w:rFonts w:ascii="Times New Roman" w:eastAsia="Times New Roman" w:hAnsi="Times New Roman" w:cs="Times New Roman"/>
                <w:b/>
                <w:sz w:val="26"/>
              </w:rPr>
            </w:pPr>
          </w:p>
          <w:p w:rsidR="00B32DDF" w:rsidRDefault="00B32DDF">
            <w:pPr>
              <w:spacing w:after="0" w:line="240" w:lineRule="auto"/>
              <w:jc w:val="center"/>
              <w:rPr>
                <w:rFonts w:ascii="Times New Roman" w:eastAsia="Times New Roman" w:hAnsi="Times New Roman" w:cs="Times New Roman"/>
                <w:b/>
                <w:sz w:val="26"/>
              </w:rPr>
            </w:pPr>
          </w:p>
          <w:p w:rsidR="00B32DDF" w:rsidRDefault="004F3CD0">
            <w:pPr>
              <w:spacing w:after="0" w:line="240" w:lineRule="auto"/>
              <w:jc w:val="center"/>
            </w:pPr>
            <w:r>
              <w:rPr>
                <w:rFonts w:ascii="Times New Roman" w:eastAsia="Times New Roman" w:hAnsi="Times New Roman" w:cs="Times New Roman"/>
                <w:b/>
                <w:sz w:val="28"/>
              </w:rPr>
              <w:t>Lê Minh Ngân</w:t>
            </w:r>
          </w:p>
        </w:tc>
      </w:tr>
    </w:tbl>
    <w:p w:rsidR="00B32DDF" w:rsidRDefault="00B32DDF">
      <w:pPr>
        <w:spacing w:after="0" w:line="240" w:lineRule="auto"/>
        <w:rPr>
          <w:rFonts w:ascii=".VnTime" w:eastAsia=".VnTime" w:hAnsi=".VnTime" w:cs=".VnTime"/>
          <w:color w:val="FF0000"/>
          <w:sz w:val="28"/>
        </w:rPr>
      </w:pPr>
    </w:p>
    <w:sectPr w:rsidR="00B32D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32DDF"/>
    <w:rsid w:val="004F3CD0"/>
    <w:rsid w:val="00B32D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5235</Characters>
  <Application>Microsoft Office Word</Application>
  <DocSecurity>0</DocSecurity>
  <Lines>43</Lines>
  <Paragraphs>12</Paragraphs>
  <ScaleCrop>false</ScaleCrop>
  <Company/>
  <LinksUpToDate>false</LinksUpToDate>
  <CharactersWithSpaces>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2017-05-19T07:52:00Z</dcterms:created>
  <dcterms:modified xsi:type="dcterms:W3CDTF">2017-05-19T07:52:00Z</dcterms:modified>
</cp:coreProperties>
</file>