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10" w:type="dxa"/>
          <w:right w:w="10" w:type="dxa"/>
        </w:tblCellMar>
        <w:tblLook w:val="0000"/>
      </w:tblPr>
      <w:tblGrid>
        <w:gridCol w:w="3805"/>
        <w:gridCol w:w="5771"/>
      </w:tblGrid>
      <w:tr w:rsidR="00BE3477">
        <w:tblPrEx>
          <w:tblCellMar>
            <w:top w:w="0" w:type="dxa"/>
            <w:bottom w:w="0" w:type="dxa"/>
          </w:tblCellMar>
        </w:tblPrEx>
        <w:trPr>
          <w:trHeight w:val="798"/>
          <w:jc w:val="center"/>
        </w:trPr>
        <w:tc>
          <w:tcPr>
            <w:tcW w:w="39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E3477" w:rsidRDefault="00AD10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w:t>
            </w:r>
          </w:p>
          <w:p w:rsidR="00BE3477" w:rsidRDefault="00AD1027">
            <w:pPr>
              <w:tabs>
                <w:tab w:val="left" w:pos="1050"/>
              </w:tabs>
              <w:spacing w:after="0" w:line="240" w:lineRule="auto"/>
              <w:jc w:val="center"/>
            </w:pPr>
            <w:r>
              <w:rPr>
                <w:rFonts w:ascii="Times New Roman" w:eastAsia="Times New Roman" w:hAnsi="Times New Roman" w:cs="Times New Roman"/>
                <w:b/>
                <w:sz w:val="28"/>
              </w:rPr>
              <w:t>TỈNH QUẢNG BÌNH</w:t>
            </w:r>
          </w:p>
        </w:tc>
        <w:tc>
          <w:tcPr>
            <w:tcW w:w="61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E3477" w:rsidRDefault="00AD102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CỘNG HÒA XÃ HỘI CHỦ NGHĨA VIỆT NAM</w:t>
            </w:r>
          </w:p>
          <w:p w:rsidR="00BE3477" w:rsidRDefault="00AD1027">
            <w:pPr>
              <w:spacing w:after="0" w:line="240" w:lineRule="auto"/>
              <w:jc w:val="center"/>
            </w:pPr>
            <w:r>
              <w:rPr>
                <w:rFonts w:ascii="Times New Roman" w:eastAsia="Times New Roman" w:hAnsi="Times New Roman" w:cs="Times New Roman"/>
                <w:b/>
                <w:sz w:val="28"/>
              </w:rPr>
              <w:t xml:space="preserve">     Độc lập – Tự do – Hạnh phúc</w:t>
            </w:r>
          </w:p>
        </w:tc>
      </w:tr>
      <w:tr w:rsidR="00BE3477">
        <w:tblPrEx>
          <w:tblCellMar>
            <w:top w:w="0" w:type="dxa"/>
            <w:bottom w:w="0" w:type="dxa"/>
          </w:tblCellMar>
        </w:tblPrEx>
        <w:trPr>
          <w:trHeight w:val="328"/>
          <w:jc w:val="center"/>
        </w:trPr>
        <w:tc>
          <w:tcPr>
            <w:tcW w:w="39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E3477" w:rsidRDefault="00AD102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1027</w:t>
            </w:r>
            <w:r>
              <w:rPr>
                <w:rFonts w:ascii="Times New Roman" w:eastAsia="Times New Roman" w:hAnsi="Times New Roman" w:cs="Times New Roman"/>
                <w:sz w:val="28"/>
              </w:rPr>
              <w:t>/UBND-KTN</w:t>
            </w:r>
          </w:p>
          <w:p w:rsidR="00BE3477" w:rsidRDefault="00AD10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V/v ngăn chặn, giảm thiểu và chấm dứt tình trạng tàu cá, ngư dân khai thác hải sản trái phép ở vùng biển nước ngoài</w:t>
            </w:r>
          </w:p>
          <w:p w:rsidR="00BE3477" w:rsidRDefault="00AD1027">
            <w:pPr>
              <w:spacing w:after="0" w:line="240" w:lineRule="auto"/>
            </w:pPr>
            <w:r>
              <w:rPr>
                <w:rFonts w:ascii="Times New Roman" w:eastAsia="Times New Roman" w:hAnsi="Times New Roman" w:cs="Times New Roman"/>
                <w:sz w:val="24"/>
              </w:rPr>
              <w:t xml:space="preserve">   </w:t>
            </w:r>
          </w:p>
        </w:tc>
        <w:tc>
          <w:tcPr>
            <w:tcW w:w="61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E3477" w:rsidRDefault="00AD1027">
            <w:pPr>
              <w:spacing w:after="0" w:line="240" w:lineRule="auto"/>
              <w:jc w:val="center"/>
            </w:pPr>
            <w:r>
              <w:rPr>
                <w:rFonts w:ascii="Times New Roman" w:eastAsia="Times New Roman" w:hAnsi="Times New Roman" w:cs="Times New Roman"/>
                <w:i/>
                <w:sz w:val="28"/>
              </w:rPr>
              <w:t xml:space="preserve">                 Quảng Bình, ngày 13  tháng 6 năm 2017</w:t>
            </w:r>
          </w:p>
        </w:tc>
      </w:tr>
    </w:tbl>
    <w:p w:rsidR="00BE3477" w:rsidRDefault="00BE3477">
      <w:pPr>
        <w:spacing w:after="0" w:line="240" w:lineRule="auto"/>
        <w:rPr>
          <w:rFonts w:ascii="Times New Roman" w:eastAsia="Times New Roman" w:hAnsi="Times New Roman" w:cs="Times New Roman"/>
          <w:sz w:val="2"/>
        </w:rPr>
      </w:pPr>
    </w:p>
    <w:p w:rsidR="00BE3477" w:rsidRDefault="00AD102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1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t xml:space="preserve">Kính gửi: </w:t>
      </w:r>
    </w:p>
    <w:p w:rsidR="00BE3477" w:rsidRDefault="00AD1027">
      <w:pPr>
        <w:spacing w:before="40" w:after="0" w:line="240" w:lineRule="auto"/>
        <w:ind w:left="3394" w:firstLine="206"/>
        <w:rPr>
          <w:rFonts w:ascii="Times New Roman" w:eastAsia="Times New Roman" w:hAnsi="Times New Roman" w:cs="Times New Roman"/>
          <w:sz w:val="28"/>
        </w:rPr>
      </w:pPr>
      <w:r>
        <w:rPr>
          <w:rFonts w:ascii="Times New Roman" w:eastAsia="Times New Roman" w:hAnsi="Times New Roman" w:cs="Times New Roman"/>
          <w:sz w:val="28"/>
        </w:rPr>
        <w:t xml:space="preserve">- Sở Nông nghiệp và Phát triển nông thôn; </w:t>
      </w:r>
    </w:p>
    <w:p w:rsidR="00BE3477" w:rsidRDefault="00AD1027">
      <w:pPr>
        <w:spacing w:before="40" w:after="0" w:line="240" w:lineRule="auto"/>
        <w:ind w:left="3394" w:firstLine="206"/>
        <w:rPr>
          <w:rFonts w:ascii="Times New Roman" w:eastAsia="Times New Roman" w:hAnsi="Times New Roman" w:cs="Times New Roman"/>
          <w:sz w:val="28"/>
        </w:rPr>
      </w:pPr>
      <w:r>
        <w:rPr>
          <w:rFonts w:ascii="Times New Roman" w:eastAsia="Times New Roman" w:hAnsi="Times New Roman" w:cs="Times New Roman"/>
          <w:sz w:val="28"/>
        </w:rPr>
        <w:t xml:space="preserve">- Công </w:t>
      </w:r>
      <w:proofErr w:type="gramStart"/>
      <w:r>
        <w:rPr>
          <w:rFonts w:ascii="Times New Roman" w:eastAsia="Times New Roman" w:hAnsi="Times New Roman" w:cs="Times New Roman"/>
          <w:sz w:val="28"/>
        </w:rPr>
        <w:t>an</w:t>
      </w:r>
      <w:proofErr w:type="gramEnd"/>
      <w:r>
        <w:rPr>
          <w:rFonts w:ascii="Times New Roman" w:eastAsia="Times New Roman" w:hAnsi="Times New Roman" w:cs="Times New Roman"/>
          <w:sz w:val="28"/>
        </w:rPr>
        <w:t xml:space="preserve"> tỉnh; </w:t>
      </w:r>
    </w:p>
    <w:p w:rsidR="00BE3477" w:rsidRDefault="00AD1027">
      <w:pPr>
        <w:spacing w:before="40" w:after="0" w:line="240" w:lineRule="auto"/>
        <w:ind w:left="3497" w:firstLine="103"/>
        <w:rPr>
          <w:rFonts w:ascii="Times New Roman" w:eastAsia="Times New Roman" w:hAnsi="Times New Roman" w:cs="Times New Roman"/>
          <w:sz w:val="28"/>
        </w:rPr>
      </w:pPr>
      <w:r>
        <w:rPr>
          <w:rFonts w:ascii="Times New Roman" w:eastAsia="Times New Roman" w:hAnsi="Times New Roman" w:cs="Times New Roman"/>
          <w:sz w:val="28"/>
        </w:rPr>
        <w:t>- Bộ Chỉ huy Bộ đội Biên phòng tỉnh;</w:t>
      </w:r>
    </w:p>
    <w:p w:rsidR="00BE3477" w:rsidRDefault="00AD1027">
      <w:pPr>
        <w:spacing w:before="40" w:after="0" w:line="240" w:lineRule="auto"/>
        <w:ind w:left="3497" w:firstLine="103"/>
        <w:rPr>
          <w:rFonts w:ascii="Times New Roman" w:eastAsia="Times New Roman" w:hAnsi="Times New Roman" w:cs="Times New Roman"/>
          <w:sz w:val="28"/>
        </w:rPr>
      </w:pPr>
      <w:r>
        <w:rPr>
          <w:rFonts w:ascii="Times New Roman" w:eastAsia="Times New Roman" w:hAnsi="Times New Roman" w:cs="Times New Roman"/>
          <w:sz w:val="28"/>
        </w:rPr>
        <w:t>- Sở Ngoại vụ;</w:t>
      </w:r>
    </w:p>
    <w:p w:rsidR="00BE3477" w:rsidRDefault="00AD1027">
      <w:pPr>
        <w:spacing w:before="40" w:after="0" w:line="240" w:lineRule="auto"/>
        <w:ind w:left="1543" w:firstLine="2057"/>
        <w:rPr>
          <w:rFonts w:ascii="Times New Roman" w:eastAsia="Times New Roman" w:hAnsi="Times New Roman" w:cs="Times New Roman"/>
          <w:sz w:val="28"/>
        </w:rPr>
      </w:pPr>
      <w:r>
        <w:rPr>
          <w:rFonts w:ascii="Times New Roman" w:eastAsia="Times New Roman" w:hAnsi="Times New Roman" w:cs="Times New Roman"/>
          <w:sz w:val="28"/>
        </w:rPr>
        <w:t>- Sở Thông tin và Truyền thông;</w:t>
      </w:r>
    </w:p>
    <w:p w:rsidR="00BE3477" w:rsidRDefault="00AD1027">
      <w:pPr>
        <w:spacing w:before="40" w:after="0" w:line="240" w:lineRule="auto"/>
        <w:ind w:left="1542" w:firstLine="2058"/>
        <w:rPr>
          <w:rFonts w:ascii="Times New Roman" w:eastAsia="Times New Roman" w:hAnsi="Times New Roman" w:cs="Times New Roman"/>
          <w:sz w:val="28"/>
        </w:rPr>
      </w:pPr>
      <w:r>
        <w:rPr>
          <w:rFonts w:ascii="Times New Roman" w:eastAsia="Times New Roman" w:hAnsi="Times New Roman" w:cs="Times New Roman"/>
          <w:sz w:val="28"/>
        </w:rPr>
        <w:t>- UBND các huyện, thành phố, thị xã.</w:t>
      </w:r>
    </w:p>
    <w:p w:rsidR="00BE3477" w:rsidRDefault="00AD1027">
      <w:pPr>
        <w:spacing w:before="36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Trong thời gian qua, thực hiện sự chỉ đạo của UBND tỉnh, các Sở, ngành và UBND các huyện, thị xã, thành phố đã phối hợp tổ chức triển khai có hiệu quả Chỉ thị số 689/CT-TTg ngày 18/5/2010 của Thủ t</w:t>
      </w:r>
      <w:r>
        <w:rPr>
          <w:rFonts w:ascii="Times New Roman" w:eastAsia="Times New Roman" w:hAnsi="Times New Roman" w:cs="Times New Roman"/>
          <w:sz w:val="28"/>
        </w:rPr>
        <w:t xml:space="preserve">ướng Chính phủ về một số biện pháp nhằm ngăn chặn, giảm thiểu tình trạng tàu cá và ngư dân Việt Nam bị nước ngoài bắt giữ. Vì vậy, tỉnh Quảng Bình là tỉnh có ít </w:t>
      </w:r>
      <w:proofErr w:type="gramStart"/>
      <w:r>
        <w:rPr>
          <w:rFonts w:ascii="Times New Roman" w:eastAsia="Times New Roman" w:hAnsi="Times New Roman" w:cs="Times New Roman"/>
          <w:sz w:val="28"/>
        </w:rPr>
        <w:t>ngư</w:t>
      </w:r>
      <w:proofErr w:type="gramEnd"/>
      <w:r>
        <w:rPr>
          <w:rFonts w:ascii="Times New Roman" w:eastAsia="Times New Roman" w:hAnsi="Times New Roman" w:cs="Times New Roman"/>
          <w:sz w:val="28"/>
        </w:rPr>
        <w:t xml:space="preserve"> dân vi phạm khai thác hải sản trái phép ở vùng biển nước ngoài và bị nước ngoài bắt giữ. Tu</w:t>
      </w:r>
      <w:r>
        <w:rPr>
          <w:rFonts w:ascii="Times New Roman" w:eastAsia="Times New Roman" w:hAnsi="Times New Roman" w:cs="Times New Roman"/>
          <w:sz w:val="28"/>
        </w:rPr>
        <w:t xml:space="preserve">y nhiên, trong thời gian tới, nêu không tăng cường chỉ đạo, kiểm tra, hướng dẫn, động viên ngư dân thì tình hình vi phạm vùng biển nước ngoài khai thác thủy sản trái phép tại vùng biển các nước tiếp tục xảy ra. </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Để chủ động ngăn chặn tình trạng tàu các của</w:t>
      </w:r>
      <w:r>
        <w:rPr>
          <w:rFonts w:ascii="Times New Roman" w:eastAsia="Times New Roman" w:hAnsi="Times New Roman" w:cs="Times New Roman"/>
          <w:sz w:val="28"/>
        </w:rPr>
        <w:t xml:space="preserve"> tỉnh ta vi phạm khai thác hải sản trái phép ở vùng biển nước ngoài và bị nước ngoài bắt giữ; thực hiện Công điện số 732/CĐ-TTg ngày 28/5/2017 của Thủ tướng Chính phủ về ngăn chặn, giảm thiểu và chấm dứt tàu các và ngư dân Việt Nam khai thác hải sản trái p</w:t>
      </w:r>
      <w:r>
        <w:rPr>
          <w:rFonts w:ascii="Times New Roman" w:eastAsia="Times New Roman" w:hAnsi="Times New Roman" w:cs="Times New Roman"/>
          <w:sz w:val="28"/>
        </w:rPr>
        <w:t>hép ở vùng biển nước ngoài, Uỷ ban nhân dân tỉnh yêu cầu:</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1. Các Sở, ngành và UBND các huyện, thị xã, thành phố theo chức năng, nhiệm vụ được giao tổ chức triển khai nghiêm túc có hiệu quả chỉ đạo của Thủ tướng Chính phủ tại Chỉ thị 689/CT-TTg ngày 15/8/20</w:t>
      </w:r>
      <w:r>
        <w:rPr>
          <w:rFonts w:ascii="Times New Roman" w:eastAsia="Times New Roman" w:hAnsi="Times New Roman" w:cs="Times New Roman"/>
          <w:sz w:val="28"/>
        </w:rPr>
        <w:t>10, Công điện số 732/CĐ-TTg ngày 28/5/2017 và chỉ đạo của Uỷ ban nhân dân tỉnh tại Công văn số 362/UBND-KTN ngày 25/3/2016 về ngăn chặn, giảm thiểu tình trạng tàu cá ngư dân ra các vùng biển nước ngoài đánh bắt hải sản trái phép.</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Sở Nông nghiệp và Phát </w:t>
      </w:r>
      <w:r>
        <w:rPr>
          <w:rFonts w:ascii="Times New Roman" w:eastAsia="Times New Roman" w:hAnsi="Times New Roman" w:cs="Times New Roman"/>
          <w:sz w:val="28"/>
        </w:rPr>
        <w:t>triển nông thôn:</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Chủ trì phối hợp với các lực lượng chức năng xử lý nghiêm chủ tàu cá có hành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vi phạm việc đánh bắt hải sản trái phép ở các vùng biển nước ngoài. </w:t>
      </w:r>
      <w:proofErr w:type="gramStart"/>
      <w:r>
        <w:rPr>
          <w:rFonts w:ascii="Times New Roman" w:eastAsia="Times New Roman" w:hAnsi="Times New Roman" w:cs="Times New Roman"/>
          <w:sz w:val="28"/>
        </w:rPr>
        <w:t xml:space="preserve">Kiên quyết không cấp giấy phép khai thác thuỷ sản, không cho đóng mới đối với chủ tàu có </w:t>
      </w:r>
      <w:r>
        <w:rPr>
          <w:rFonts w:ascii="Times New Roman" w:eastAsia="Times New Roman" w:hAnsi="Times New Roman" w:cs="Times New Roman"/>
          <w:sz w:val="28"/>
        </w:rPr>
        <w:t>tàu cá tái phạm.</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Tàu cá bị bắt giữ, chuộc, thả hoặc trốn về nước tạm dừng quyền chuyển sở hữu và tước quyền giấy phép khai thác thuỷ sản trong vòng 06 tháng.</w:t>
      </w:r>
      <w:proofErr w:type="gramEnd"/>
      <w:r>
        <w:rPr>
          <w:rFonts w:ascii="Times New Roman" w:eastAsia="Times New Roman" w:hAnsi="Times New Roman" w:cs="Times New Roman"/>
          <w:sz w:val="28"/>
        </w:rPr>
        <w:t xml:space="preserve"> Không xem xét trình UBND tỉnh hỗ trợ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chính sách hỗ trợ của Nhà nước đối với các tàu cá vi phạ</w:t>
      </w:r>
      <w:r>
        <w:rPr>
          <w:rFonts w:ascii="Times New Roman" w:eastAsia="Times New Roman" w:hAnsi="Times New Roman" w:cs="Times New Roman"/>
          <w:sz w:val="28"/>
        </w:rPr>
        <w:t>m.</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Tăng cường quản lý chặt chẽ số lượng tàu cá khai thác hải sản xa bờ, đặc biệt là tàu tham gia khai thác hải sản trên các vùng biển xa trên địa bàn tỉnh. Tàu cá khai thác hải sản xa bờ phải lắp thiết bị giám sát hành trình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 v</w:t>
      </w:r>
      <w:r>
        <w:rPr>
          <w:rFonts w:ascii="Times New Roman" w:eastAsia="Times New Roman" w:hAnsi="Times New Roman" w:cs="Times New Roman"/>
          <w:sz w:val="28"/>
        </w:rPr>
        <w:t xml:space="preserve">à phải mở máy hoạt động 24/24 giờ để cơ quan chức năng quản lý, giám sát. </w:t>
      </w:r>
      <w:proofErr w:type="gramStart"/>
      <w:r>
        <w:rPr>
          <w:rFonts w:ascii="Times New Roman" w:eastAsia="Times New Roman" w:hAnsi="Times New Roman" w:cs="Times New Roman"/>
          <w:sz w:val="28"/>
        </w:rPr>
        <w:t>Thực hiện tốt công tác truy xuất nguồn gốc hải sản khai thác.</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Kiểm tra, kiểm soát, xử lý nghiêm việc khai thác, tiêu thụ, chế biến hải sâm, hải sản quý hiếm trái phép.</w:t>
      </w:r>
      <w:proofErr w:type="gramEnd"/>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3. Bộ Chỉ huy </w:t>
      </w:r>
      <w:r>
        <w:rPr>
          <w:rFonts w:ascii="Times New Roman" w:eastAsia="Times New Roman" w:hAnsi="Times New Roman" w:cs="Times New Roman"/>
          <w:sz w:val="28"/>
        </w:rPr>
        <w:t>Bộ đội Biên phòng tỉnh:</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đạo Đồn biên phòng ven biển kiểm soát chặt chẽ tàu cá khi xuất, nhập bến. Kiên quyết không cho ra khơi khi chưa đủ các thủ tục giấy tờ, các trang thiết bị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Chủ trì, phối hợp các lực lượng liên quan và địa phươ</w:t>
      </w:r>
      <w:r>
        <w:rPr>
          <w:rFonts w:ascii="Times New Roman" w:eastAsia="Times New Roman" w:hAnsi="Times New Roman" w:cs="Times New Roman"/>
          <w:sz w:val="28"/>
        </w:rPr>
        <w:t xml:space="preserve">ng tăng cường tuần tra, kiểm soát, xử lý các tàu cá nước ngoài vi phạm vùng biển Quảng Bình, tập trung vào các khu vực có nhiều tàu cá qua lại, khu vực thường xuyên có vi phạm. </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Chủ động thực hiện các biện pháp nhằm ngăn chặn tàu cá Quảng Bình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phạm vù</w:t>
      </w:r>
      <w:r>
        <w:rPr>
          <w:rFonts w:ascii="Times New Roman" w:eastAsia="Times New Roman" w:hAnsi="Times New Roman" w:cs="Times New Roman"/>
          <w:sz w:val="28"/>
        </w:rPr>
        <w:t xml:space="preserve">ng biển nước ngoài. Kịp thời phát hiện, xử lý hoặc đề xuất xử lý nghiêm các hành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môi giới, đầu tư cho tàu cá, ngư dân vi phạm vùng biển nước ngoài, chuộc tàu cá, ngư dân về nước trái phép.</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4. Công </w:t>
      </w:r>
      <w:proofErr w:type="gramStart"/>
      <w:r>
        <w:rPr>
          <w:rFonts w:ascii="Times New Roman" w:eastAsia="Times New Roman" w:hAnsi="Times New Roman" w:cs="Times New Roman"/>
          <w:sz w:val="28"/>
        </w:rPr>
        <w:t>an</w:t>
      </w:r>
      <w:proofErr w:type="gramEnd"/>
      <w:r>
        <w:rPr>
          <w:rFonts w:ascii="Times New Roman" w:eastAsia="Times New Roman" w:hAnsi="Times New Roman" w:cs="Times New Roman"/>
          <w:sz w:val="28"/>
        </w:rPr>
        <w:t xml:space="preserve"> tỉnh:</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đạo Công an các huyện, thị xã, thành phố </w:t>
      </w:r>
      <w:r>
        <w:rPr>
          <w:rFonts w:ascii="Times New Roman" w:eastAsia="Times New Roman" w:hAnsi="Times New Roman" w:cs="Times New Roman"/>
          <w:sz w:val="28"/>
        </w:rPr>
        <w:t>nắm bắt tình hình, kịp thời phát hiện, điều tra, xử lý nghiêm các trường hợp tổ chức đưa tàu cá và ngư dân tỉnh ta ra nước ngoài khai thác hải sản trái pháp luật hoặc môi giới chuộc tàu cá, ngư dân bị nước ngoài bắt giữ về nước trái phép.</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Quản lý chặt ch</w:t>
      </w:r>
      <w:r>
        <w:rPr>
          <w:rFonts w:ascii="Times New Roman" w:eastAsia="Times New Roman" w:hAnsi="Times New Roman" w:cs="Times New Roman"/>
          <w:sz w:val="28"/>
        </w:rPr>
        <w:t>ẽ số ngư dân được nước ngoài trả về, phát hiện và xử lý các trường hợp bị nước ngoài hoặc các thế lực thù địch tác động, mua chuộc, lôi kéo hoạt động xâm phạm an ninh quốc gia, trật tự, an toàn xã hội.</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Sở Ngoại vụ: </w:t>
      </w:r>
      <w:r>
        <w:rPr>
          <w:rFonts w:ascii="Times New Roman" w:eastAsia="Times New Roman" w:hAnsi="Times New Roman" w:cs="Times New Roman"/>
          <w:color w:val="000000"/>
          <w:sz w:val="28"/>
        </w:rPr>
        <w:t xml:space="preserve">Phối hợp với Công an tỉnh và các Sở, </w:t>
      </w:r>
      <w:r>
        <w:rPr>
          <w:rFonts w:ascii="Times New Roman" w:eastAsia="Times New Roman" w:hAnsi="Times New Roman" w:cs="Times New Roman"/>
          <w:color w:val="000000"/>
          <w:sz w:val="28"/>
          <w:shd w:val="clear" w:color="auto" w:fill="FFFFFF"/>
        </w:rPr>
        <w:t>n</w:t>
      </w:r>
      <w:r>
        <w:rPr>
          <w:rFonts w:ascii="Times New Roman" w:eastAsia="Times New Roman" w:hAnsi="Times New Roman" w:cs="Times New Roman"/>
          <w:color w:val="000000"/>
          <w:sz w:val="28"/>
          <w:shd w:val="clear" w:color="auto" w:fill="FFFFFF"/>
        </w:rPr>
        <w:t>gành và địa phương liên quan trong việc xác minh nhân thân của các ngư dân bị nước ngoài bắt giữ, tham mưu thực hiện công tác bảo hộ, sớm đưa ngư dân về nước, hạn chế phức tạp về an ninh, trật tự có thể xảy ra</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6. Sở Thông tin và Truyền thông: Chỉ đạo các c</w:t>
      </w:r>
      <w:r>
        <w:rPr>
          <w:rFonts w:ascii="Times New Roman" w:eastAsia="Times New Roman" w:hAnsi="Times New Roman" w:cs="Times New Roman"/>
          <w:sz w:val="28"/>
        </w:rPr>
        <w:t xml:space="preserve">ơ quan thông tấn, báo chí đẩy mạnh tuyền truyền, phổ biến, giáo dục pháp luật trong quần chúng nhân dân về các quy định của pháp luật liên quan đến vấn đề phân định vùng biển giữa Việt Nam và một số quốc gia láng giềng, lưu ý các vùng biển chưa phân định, </w:t>
      </w:r>
      <w:r>
        <w:rPr>
          <w:rFonts w:ascii="Times New Roman" w:eastAsia="Times New Roman" w:hAnsi="Times New Roman" w:cs="Times New Roman"/>
          <w:sz w:val="28"/>
        </w:rPr>
        <w:t>chồng lấn với các nước; tuyên truyền các quy định pháp luật trong hoạt động thuỷ sản của Việt Nam, quốc tế và các nước thường xuyên có tàu cá và ngư dân Việt Nam vi phạm; tập huấn báo chí để thông tin chính xác, tránh sai sót.</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7. UBND các huyện, thành phố, thị xã:</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Đẩy mạnh công tác tuyên truyền, hướng dẫn cho </w:t>
      </w:r>
      <w:proofErr w:type="gramStart"/>
      <w:r>
        <w:rPr>
          <w:rFonts w:ascii="Times New Roman" w:eastAsia="Times New Roman" w:hAnsi="Times New Roman" w:cs="Times New Roman"/>
          <w:sz w:val="28"/>
        </w:rPr>
        <w:t>ngư</w:t>
      </w:r>
      <w:proofErr w:type="gramEnd"/>
      <w:r>
        <w:rPr>
          <w:rFonts w:ascii="Times New Roman" w:eastAsia="Times New Roman" w:hAnsi="Times New Roman" w:cs="Times New Roman"/>
          <w:sz w:val="28"/>
        </w:rPr>
        <w:t xml:space="preserve"> dân hiểu rõ và tự giác chấp hành các quy định của pháp luật khi hoạt động khai thác hải sản trên biển, không vi phạm vùng biển các nước khác để đánh bắt hải sản trái</w:t>
      </w:r>
      <w:r>
        <w:rPr>
          <w:rFonts w:ascii="Times New Roman" w:eastAsia="Times New Roman" w:hAnsi="Times New Roman" w:cs="Times New Roman"/>
          <w:sz w:val="28"/>
        </w:rPr>
        <w:t xml:space="preserve"> phép.</w:t>
      </w:r>
    </w:p>
    <w:p w:rsidR="00BE3477" w:rsidRDefault="00AD1027">
      <w:pPr>
        <w:spacing w:before="120" w:after="0" w:line="264" w:lineRule="auto"/>
        <w:ind w:firstLine="51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Tăng cường phối hợp với các lực lượng chức năng trong việc bảo vệ chủ quyền biển đảo; hạn chế tối đa việc tàu cá nước ngoài </w:t>
      </w:r>
      <w:proofErr w:type="gramStart"/>
      <w:r>
        <w:rPr>
          <w:rFonts w:ascii="Times New Roman" w:eastAsia="Times New Roman" w:hAnsi="Times New Roman" w:cs="Times New Roman"/>
          <w:spacing w:val="-4"/>
          <w:sz w:val="28"/>
        </w:rPr>
        <w:t>vi</w:t>
      </w:r>
      <w:proofErr w:type="gramEnd"/>
      <w:r>
        <w:rPr>
          <w:rFonts w:ascii="Times New Roman" w:eastAsia="Times New Roman" w:hAnsi="Times New Roman" w:cs="Times New Roman"/>
          <w:spacing w:val="-4"/>
          <w:sz w:val="28"/>
        </w:rPr>
        <w:t xml:space="preserve"> phạm vùng biển Quảng Bình hoặc tàu cá Quảng Bình vi phạm vùng biển nước ngoài để khai thác hải sản trái phép. </w:t>
      </w:r>
    </w:p>
    <w:p w:rsidR="00BE3477" w:rsidRDefault="00AD1027">
      <w:pPr>
        <w:spacing w:before="120" w:after="0" w:line="264" w:lineRule="auto"/>
        <w:ind w:firstLine="5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222222"/>
          <w:sz w:val="28"/>
          <w:shd w:val="clear" w:color="auto" w:fill="FFFFFF"/>
        </w:rPr>
        <w:t>Chỉ đạo</w:t>
      </w:r>
      <w:r>
        <w:rPr>
          <w:rFonts w:ascii="Times New Roman" w:eastAsia="Times New Roman" w:hAnsi="Times New Roman" w:cs="Times New Roman"/>
          <w:color w:val="222222"/>
          <w:sz w:val="28"/>
          <w:shd w:val="clear" w:color="auto" w:fill="FFFFFF"/>
        </w:rPr>
        <w:t xml:space="preserve"> UBND các xã, phường, thị trấn tổ chức cho các chủ tàu cá trên 90 CV ký cam kết ko đánh bắt trái phép ở vùng biển nước ngoài</w:t>
      </w:r>
      <w:r>
        <w:rPr>
          <w:rFonts w:ascii="Times New Roman" w:eastAsia="Times New Roman" w:hAnsi="Times New Roman" w:cs="Times New Roman"/>
          <w:sz w:val="28"/>
        </w:rPr>
        <w:t>.</w:t>
      </w:r>
    </w:p>
    <w:p w:rsidR="00BE3477" w:rsidRDefault="00AD1027">
      <w:pPr>
        <w:spacing w:before="120" w:after="0" w:line="264" w:lineRule="auto"/>
        <w:ind w:firstLine="51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UBND tỉnh yêu cầu các Sở, ngành và UBND các huyện, thị xã, thành phố nghiêm túc triển khai thực hiện.</w:t>
      </w:r>
      <w:proofErr w:type="gramEnd"/>
      <w:r>
        <w:rPr>
          <w:rFonts w:ascii="Times New Roman" w:eastAsia="Times New Roman" w:hAnsi="Times New Roman" w:cs="Times New Roman"/>
          <w:sz w:val="28"/>
        </w:rPr>
        <w:t xml:space="preserve"> Giao Sở Nông nghiệp và Phát </w:t>
      </w:r>
      <w:r>
        <w:rPr>
          <w:rFonts w:ascii="Times New Roman" w:eastAsia="Times New Roman" w:hAnsi="Times New Roman" w:cs="Times New Roman"/>
          <w:sz w:val="28"/>
        </w:rPr>
        <w:t>triển nông thôn ngoài các nội dung công việc được giao, theo dõi, đôn đốc các đơn vị, địa phương trong việc tổ chức triển khai thực hiện; tổng hợp, báo cáo Bộ Nông nghiệp và Phát triển nông thôn, UBND tỉnh quá trình thực hiện./.</w:t>
      </w:r>
    </w:p>
    <w:p w:rsidR="00BE3477" w:rsidRDefault="00BE3477">
      <w:pPr>
        <w:spacing w:before="120" w:after="0" w:line="240" w:lineRule="auto"/>
        <w:ind w:firstLine="510"/>
        <w:jc w:val="both"/>
        <w:rPr>
          <w:rFonts w:ascii="Times New Roman" w:eastAsia="Times New Roman" w:hAnsi="Times New Roman" w:cs="Times New Roman"/>
          <w:sz w:val="2"/>
        </w:rPr>
      </w:pPr>
    </w:p>
    <w:tbl>
      <w:tblPr>
        <w:tblW w:w="0" w:type="auto"/>
        <w:jc w:val="center"/>
        <w:tblCellMar>
          <w:left w:w="10" w:type="dxa"/>
          <w:right w:w="10" w:type="dxa"/>
        </w:tblCellMar>
        <w:tblLook w:val="0000"/>
      </w:tblPr>
      <w:tblGrid>
        <w:gridCol w:w="5248"/>
        <w:gridCol w:w="3758"/>
      </w:tblGrid>
      <w:tr w:rsidR="00BE3477">
        <w:tblPrEx>
          <w:tblCellMar>
            <w:top w:w="0" w:type="dxa"/>
            <w:bottom w:w="0" w:type="dxa"/>
          </w:tblCellMar>
        </w:tblPrEx>
        <w:trPr>
          <w:trHeight w:val="603"/>
          <w:jc w:val="center"/>
        </w:trPr>
        <w:tc>
          <w:tcPr>
            <w:tcW w:w="52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E3477" w:rsidRDefault="00AD102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Nơi nhận:</w:t>
            </w:r>
          </w:p>
          <w:p w:rsidR="00BE3477" w:rsidRDefault="00AD1027">
            <w:pPr>
              <w:spacing w:after="0" w:line="240" w:lineRule="auto"/>
              <w:rPr>
                <w:rFonts w:ascii="Times New Roman" w:eastAsia="Times New Roman" w:hAnsi="Times New Roman" w:cs="Times New Roman"/>
              </w:rPr>
            </w:pPr>
            <w:r>
              <w:rPr>
                <w:rFonts w:ascii="Times New Roman" w:eastAsia="Times New Roman" w:hAnsi="Times New Roman" w:cs="Times New Roman"/>
              </w:rPr>
              <w:t>- Như trên;</w:t>
            </w:r>
          </w:p>
          <w:p w:rsidR="00BE3477" w:rsidRDefault="00AD1027">
            <w:pPr>
              <w:spacing w:after="0" w:line="240" w:lineRule="auto"/>
              <w:rPr>
                <w:rFonts w:ascii="Times New Roman" w:eastAsia="Times New Roman" w:hAnsi="Times New Roman" w:cs="Times New Roman"/>
              </w:rPr>
            </w:pPr>
            <w:r>
              <w:rPr>
                <w:rFonts w:ascii="Times New Roman" w:eastAsia="Times New Roman" w:hAnsi="Times New Roman" w:cs="Times New Roman"/>
              </w:rPr>
              <w:t>- Chủ tịch, các PCT UBND tỉnh;</w:t>
            </w:r>
          </w:p>
          <w:p w:rsidR="00BE3477" w:rsidRDefault="00AD1027">
            <w:pPr>
              <w:spacing w:after="0" w:line="240" w:lineRule="auto"/>
              <w:rPr>
                <w:rFonts w:ascii="Times New Roman" w:eastAsia="Times New Roman" w:hAnsi="Times New Roman" w:cs="Times New Roman"/>
              </w:rPr>
            </w:pPr>
            <w:r>
              <w:rPr>
                <w:rFonts w:ascii="Times New Roman" w:eastAsia="Times New Roman" w:hAnsi="Times New Roman" w:cs="Times New Roman"/>
              </w:rPr>
              <w:t>- Lãnh đạo VP UBND tỉnh;</w:t>
            </w:r>
          </w:p>
          <w:p w:rsidR="00BE3477" w:rsidRDefault="00AD1027">
            <w:pPr>
              <w:spacing w:after="0" w:line="240" w:lineRule="auto"/>
              <w:rPr>
                <w:rFonts w:ascii="Times New Roman" w:eastAsia="Times New Roman" w:hAnsi="Times New Roman" w:cs="Times New Roman"/>
              </w:rPr>
            </w:pPr>
            <w:r>
              <w:rPr>
                <w:rFonts w:ascii="Times New Roman" w:eastAsia="Times New Roman" w:hAnsi="Times New Roman" w:cs="Times New Roman"/>
              </w:rPr>
              <w:t>- Chi cục Thủy sản;</w:t>
            </w:r>
          </w:p>
          <w:p w:rsidR="00BE3477" w:rsidRDefault="00AD1027">
            <w:pPr>
              <w:spacing w:after="0" w:line="240" w:lineRule="auto"/>
            </w:pPr>
            <w:r>
              <w:rPr>
                <w:rFonts w:ascii="Times New Roman" w:eastAsia="Times New Roman" w:hAnsi="Times New Roman" w:cs="Times New Roman"/>
              </w:rPr>
              <w:t>- Lưu VT, CVNN.</w:t>
            </w:r>
          </w:p>
        </w:tc>
        <w:tc>
          <w:tcPr>
            <w:tcW w:w="37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E3477" w:rsidRDefault="00AD10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 CHỦ TỊCH</w:t>
            </w:r>
          </w:p>
          <w:p w:rsidR="00BE3477" w:rsidRDefault="00AD10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BE3477" w:rsidRDefault="00BE3477">
            <w:pPr>
              <w:spacing w:after="0" w:line="240" w:lineRule="auto"/>
              <w:jc w:val="center"/>
              <w:rPr>
                <w:rFonts w:ascii="Times New Roman" w:eastAsia="Times New Roman" w:hAnsi="Times New Roman" w:cs="Times New Roman"/>
                <w:b/>
                <w:sz w:val="28"/>
              </w:rPr>
            </w:pPr>
          </w:p>
          <w:p w:rsidR="00BE3477" w:rsidRDefault="00BE3477">
            <w:pPr>
              <w:spacing w:after="0" w:line="240" w:lineRule="auto"/>
              <w:jc w:val="center"/>
              <w:rPr>
                <w:rFonts w:ascii="Times New Roman" w:eastAsia="Times New Roman" w:hAnsi="Times New Roman" w:cs="Times New Roman"/>
                <w:b/>
                <w:sz w:val="28"/>
              </w:rPr>
            </w:pPr>
          </w:p>
          <w:p w:rsidR="00BE3477" w:rsidRDefault="00AD10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Đã ký</w:t>
            </w:r>
          </w:p>
          <w:p w:rsidR="00BE3477" w:rsidRDefault="00BE3477">
            <w:pPr>
              <w:spacing w:after="0" w:line="240" w:lineRule="auto"/>
              <w:jc w:val="center"/>
              <w:rPr>
                <w:rFonts w:ascii="Times New Roman" w:eastAsia="Times New Roman" w:hAnsi="Times New Roman" w:cs="Times New Roman"/>
                <w:b/>
                <w:sz w:val="28"/>
              </w:rPr>
            </w:pPr>
          </w:p>
          <w:p w:rsidR="00BE3477" w:rsidRDefault="00BE3477">
            <w:pPr>
              <w:spacing w:after="0" w:line="240" w:lineRule="auto"/>
              <w:jc w:val="center"/>
              <w:rPr>
                <w:rFonts w:ascii="Times New Roman" w:eastAsia="Times New Roman" w:hAnsi="Times New Roman" w:cs="Times New Roman"/>
                <w:b/>
                <w:sz w:val="28"/>
              </w:rPr>
            </w:pPr>
          </w:p>
          <w:p w:rsidR="00BE3477" w:rsidRDefault="00AD1027">
            <w:pPr>
              <w:spacing w:after="120" w:line="240" w:lineRule="auto"/>
              <w:jc w:val="center"/>
            </w:pPr>
            <w:r>
              <w:rPr>
                <w:rFonts w:ascii="Times New Roman" w:eastAsia="Times New Roman" w:hAnsi="Times New Roman" w:cs="Times New Roman"/>
                <w:b/>
                <w:sz w:val="28"/>
              </w:rPr>
              <w:t>Nguyễn Xuân Quang</w:t>
            </w:r>
          </w:p>
        </w:tc>
      </w:tr>
    </w:tbl>
    <w:p w:rsidR="00BE3477" w:rsidRDefault="00BE3477">
      <w:pPr>
        <w:spacing w:before="120" w:after="120" w:line="288" w:lineRule="auto"/>
        <w:ind w:firstLine="567"/>
        <w:jc w:val="both"/>
        <w:rPr>
          <w:rFonts w:ascii="Times New Roman" w:eastAsia="Times New Roman" w:hAnsi="Times New Roman" w:cs="Times New Roman"/>
          <w:sz w:val="28"/>
        </w:rPr>
      </w:pPr>
    </w:p>
    <w:sectPr w:rsidR="00BE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E3477"/>
    <w:rsid w:val="00AD1027"/>
    <w:rsid w:val="00BE3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2017-07-03T08:13:00Z</dcterms:created>
  <dcterms:modified xsi:type="dcterms:W3CDTF">2017-07-03T08:13:00Z</dcterms:modified>
</cp:coreProperties>
</file>