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4B" w:rsidRDefault="00B64135">
      <w:pPr>
        <w:spacing w:before="60"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UỶ BAN NHÂN DÂN CỘNG HOÀ XÃ HỘI CHỦ NGHĨA VIỆT NAM</w:t>
      </w:r>
    </w:p>
    <w:p w:rsidR="00FE294B" w:rsidRDefault="00B64135">
      <w:pPr>
        <w:spacing w:before="60"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TỈNH QUẢNG BÌNH</w:t>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t xml:space="preserve">       Độc lập - Tự do - Hạnh phúc</w:t>
      </w:r>
    </w:p>
    <w:p w:rsidR="00FE294B" w:rsidRDefault="00B64135">
      <w:pPr>
        <w:spacing w:before="240" w:after="0" w:line="240" w:lineRule="auto"/>
        <w:jc w:val="both"/>
        <w:rPr>
          <w:rFonts w:ascii="Times New Roman" w:eastAsia="Times New Roman" w:hAnsi="Times New Roman" w:cs="Times New Roman"/>
          <w:i/>
          <w:color w:val="000000"/>
          <w:sz w:val="28"/>
        </w:rPr>
      </w:pPr>
      <w:r>
        <w:rPr>
          <w:rFonts w:ascii="Times New Roman" w:eastAsia="Times New Roman" w:hAnsi="Times New Roman" w:cs="Times New Roman"/>
          <w:color w:val="000000"/>
          <w:sz w:val="28"/>
        </w:rPr>
        <w:t xml:space="preserve">    Số: 1105</w:t>
      </w:r>
      <w:r>
        <w:rPr>
          <w:rFonts w:ascii="Times New Roman" w:eastAsia="Times New Roman" w:hAnsi="Times New Roman" w:cs="Times New Roman"/>
          <w:color w:val="000000"/>
          <w:sz w:val="28"/>
        </w:rPr>
        <w:t>/UBND-NC</w:t>
      </w:r>
      <w:r>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ab/>
        <w:t xml:space="preserve">  </w:t>
      </w:r>
      <w:r>
        <w:rPr>
          <w:rFonts w:ascii="Times New Roman" w:eastAsia="Times New Roman" w:hAnsi="Times New Roman" w:cs="Times New Roman"/>
          <w:i/>
          <w:color w:val="000000"/>
          <w:sz w:val="28"/>
        </w:rPr>
        <w:t xml:space="preserve">Quảng Bình, ngày 23 tháng </w:t>
      </w:r>
      <w:proofErr w:type="gramStart"/>
      <w:r>
        <w:rPr>
          <w:rFonts w:ascii="Times New Roman" w:eastAsia="Times New Roman" w:hAnsi="Times New Roman" w:cs="Times New Roman"/>
          <w:i/>
          <w:color w:val="000000"/>
          <w:sz w:val="28"/>
        </w:rPr>
        <w:t>6  năm</w:t>
      </w:r>
      <w:proofErr w:type="gramEnd"/>
      <w:r>
        <w:rPr>
          <w:rFonts w:ascii="Times New Roman" w:eastAsia="Times New Roman" w:hAnsi="Times New Roman" w:cs="Times New Roman"/>
          <w:i/>
          <w:color w:val="000000"/>
          <w:sz w:val="28"/>
        </w:rPr>
        <w:t xml:space="preserve"> 2017</w:t>
      </w:r>
    </w:p>
    <w:p w:rsidR="00FE294B" w:rsidRDefault="00B64135">
      <w:pPr>
        <w:spacing w:after="0" w:line="240" w:lineRule="auto"/>
        <w:ind w:right="581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V/v triển khai thực hiện Chỉ thị </w:t>
      </w:r>
    </w:p>
    <w:p w:rsidR="00FE294B" w:rsidRDefault="00B64135">
      <w:pPr>
        <w:spacing w:after="0" w:line="240" w:lineRule="auto"/>
        <w:ind w:right="5812"/>
        <w:jc w:val="center"/>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số</w:t>
      </w:r>
      <w:proofErr w:type="gramEnd"/>
      <w:r>
        <w:rPr>
          <w:rFonts w:ascii="Times New Roman" w:eastAsia="Times New Roman" w:hAnsi="Times New Roman" w:cs="Times New Roman"/>
          <w:color w:val="000000"/>
          <w:sz w:val="24"/>
        </w:rPr>
        <w:t xml:space="preserve"> 23/CT-TTg ngày 26/5/2017</w:t>
      </w:r>
    </w:p>
    <w:p w:rsidR="00FE294B" w:rsidRDefault="00B64135">
      <w:pPr>
        <w:spacing w:after="0" w:line="240" w:lineRule="auto"/>
        <w:ind w:right="581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của</w:t>
      </w:r>
      <w:proofErr w:type="gramEnd"/>
      <w:r>
        <w:rPr>
          <w:rFonts w:ascii="Times New Roman" w:eastAsia="Times New Roman" w:hAnsi="Times New Roman" w:cs="Times New Roman"/>
          <w:color w:val="000000"/>
          <w:sz w:val="24"/>
        </w:rPr>
        <w:t xml:space="preserve"> Thủ t</w:t>
      </w:r>
      <w:r>
        <w:rPr>
          <w:rFonts w:ascii="Times New Roman" w:eastAsia="Times New Roman" w:hAnsi="Times New Roman" w:cs="Times New Roman"/>
          <w:color w:val="000000"/>
          <w:sz w:val="24"/>
        </w:rPr>
        <w:t>ướng Chính phủ</w:t>
      </w:r>
    </w:p>
    <w:p w:rsidR="00FE294B" w:rsidRDefault="00B64135">
      <w:pPr>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8"/>
        </w:rPr>
        <w:tab/>
      </w:r>
    </w:p>
    <w:p w:rsidR="00FE294B" w:rsidRDefault="00B64135">
      <w:pPr>
        <w:spacing w:before="60" w:after="0" w:line="240" w:lineRule="auto"/>
        <w:ind w:left="720"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Kính gửi: </w:t>
      </w:r>
      <w:r>
        <w:rPr>
          <w:rFonts w:ascii="Times New Roman" w:eastAsia="Times New Roman" w:hAnsi="Times New Roman" w:cs="Times New Roman"/>
          <w:color w:val="000000"/>
          <w:sz w:val="28"/>
        </w:rPr>
        <w:tab/>
        <w:t>- Sở Nội vụ;</w:t>
      </w:r>
    </w:p>
    <w:p w:rsidR="00FE294B" w:rsidRDefault="00B64135">
      <w:pPr>
        <w:spacing w:before="60" w:after="0" w:line="240" w:lineRule="auto"/>
        <w:ind w:left="2160" w:firstLine="720"/>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Ủy ban nhân dân các huyện, thành phố, thị xã.</w:t>
      </w:r>
      <w:proofErr w:type="gramEnd"/>
    </w:p>
    <w:p w:rsidR="00FE294B" w:rsidRDefault="00FE294B">
      <w:pPr>
        <w:spacing w:before="60" w:after="0" w:line="240" w:lineRule="auto"/>
        <w:ind w:right="500" w:firstLine="567"/>
        <w:jc w:val="both"/>
        <w:rPr>
          <w:rFonts w:ascii="Times New Roman" w:eastAsia="Times New Roman" w:hAnsi="Times New Roman" w:cs="Times New Roman"/>
          <w:color w:val="000000"/>
          <w:spacing w:val="2"/>
          <w:u w:val="single"/>
        </w:rPr>
      </w:pPr>
    </w:p>
    <w:p w:rsidR="00FE294B" w:rsidRDefault="00B64135">
      <w:pPr>
        <w:spacing w:before="60" w:after="0" w:line="240" w:lineRule="auto"/>
        <w:ind w:firstLine="567"/>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Thực hiện Chỉ thị số 23/CT-TTg ngày 26/5/2017 của Thủ tướng Chính phủ về việc thực hiện nghiêm quy định số lượng, cơ cấu và quy tr</w:t>
      </w:r>
      <w:r>
        <w:rPr>
          <w:rFonts w:ascii="Times New Roman" w:eastAsia="Times New Roman" w:hAnsi="Times New Roman" w:cs="Times New Roman"/>
          <w:color w:val="000000"/>
          <w:sz w:val="28"/>
          <w:u w:val="single"/>
        </w:rPr>
        <w:t>ình, thủ tục bầu, từ chức, miễn nhiệm, bãi nhiệm, điều động, cách chức thành viên Ủy ban nhân các cấp và Công văn số 3057/BNV-CQĐP ngày 08/6/2017 của Bộ Nội vụ về thực hiện số lượng Phó Chủ tịch UBND các cấp nhiệm kỳ 2016 - 2021, Ủy ban nhân dân tỉnh yêu c</w:t>
      </w:r>
      <w:r>
        <w:rPr>
          <w:rFonts w:ascii="Times New Roman" w:eastAsia="Times New Roman" w:hAnsi="Times New Roman" w:cs="Times New Roman"/>
          <w:color w:val="000000"/>
          <w:sz w:val="28"/>
          <w:u w:val="single"/>
        </w:rPr>
        <w:t>ầu Thủ trưởng các cơ quan có liên quan và chính quyền địa phương các cấp triển khai thực hiện một số nội dung sau đây:</w:t>
      </w:r>
    </w:p>
    <w:p w:rsidR="00FE294B" w:rsidRDefault="00B64135">
      <w:pPr>
        <w:spacing w:before="60" w:after="0" w:line="240" w:lineRule="auto"/>
        <w:ind w:firstLine="567"/>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1. Quán triệt thực hiện Chỉ thị số 23/CT-TTg ngày 26/5/2017 của Thủ tướng Chính phủ về việc thực hiện nghiêm quy định số lượng, cơ cấu và</w:t>
      </w:r>
      <w:r>
        <w:rPr>
          <w:rFonts w:ascii="Times New Roman" w:eastAsia="Times New Roman" w:hAnsi="Times New Roman" w:cs="Times New Roman"/>
          <w:color w:val="000000"/>
          <w:sz w:val="28"/>
          <w:u w:val="single"/>
        </w:rPr>
        <w:t xml:space="preserve"> quy trình, thủ </w:t>
      </w:r>
      <w:proofErr w:type="gramStart"/>
      <w:r>
        <w:rPr>
          <w:rFonts w:ascii="Times New Roman" w:eastAsia="Times New Roman" w:hAnsi="Times New Roman" w:cs="Times New Roman"/>
          <w:color w:val="000000"/>
          <w:sz w:val="28"/>
          <w:u w:val="single"/>
        </w:rPr>
        <w:t>tục</w:t>
      </w:r>
      <w:proofErr w:type="gramEnd"/>
      <w:r>
        <w:rPr>
          <w:rFonts w:ascii="Times New Roman" w:eastAsia="Times New Roman" w:hAnsi="Times New Roman" w:cs="Times New Roman"/>
          <w:color w:val="000000"/>
          <w:sz w:val="28"/>
          <w:u w:val="single"/>
        </w:rPr>
        <w:t xml:space="preserve"> bầu, từ chức, miễn nhiệm, bãi nhiệm, điều động, cách chức thành viên Ủy ban nhân các cấp tới lãnh đạo, cấp ủy chính quyền địa phương các cấp.</w:t>
      </w:r>
    </w:p>
    <w:p w:rsidR="00FE294B" w:rsidRDefault="00B64135">
      <w:pPr>
        <w:spacing w:before="60" w:after="0" w:line="240" w:lineRule="auto"/>
        <w:ind w:firstLine="567"/>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2. Chính quyền địa phương các cấp phải bảo đảm thực hiện đúng số lượng, cơ cấu thành viên Ủy b</w:t>
      </w:r>
      <w:r>
        <w:rPr>
          <w:rFonts w:ascii="Times New Roman" w:eastAsia="Times New Roman" w:hAnsi="Times New Roman" w:cs="Times New Roman"/>
          <w:color w:val="000000"/>
          <w:sz w:val="28"/>
          <w:u w:val="single"/>
        </w:rPr>
        <w:t>an nhân dân các cấp:</w:t>
      </w:r>
    </w:p>
    <w:p w:rsidR="00FE294B" w:rsidRDefault="00B64135">
      <w:pPr>
        <w:tabs>
          <w:tab w:val="left" w:pos="567"/>
        </w:tabs>
        <w:spacing w:before="60" w:after="0" w:line="240" w:lineRule="auto"/>
        <w:jc w:val="both"/>
        <w:rPr>
          <w:rFonts w:ascii="Times New Roman" w:eastAsia="Times New Roman" w:hAnsi="Times New Roman" w:cs="Times New Roman"/>
          <w:color w:val="000000"/>
          <w:spacing w:val="-4"/>
          <w:sz w:val="28"/>
          <w:u w:val="single"/>
        </w:rPr>
      </w:pPr>
      <w:r>
        <w:rPr>
          <w:rFonts w:ascii="Times New Roman" w:eastAsia="Times New Roman" w:hAnsi="Times New Roman" w:cs="Times New Roman"/>
          <w:color w:val="000000"/>
          <w:spacing w:val="-4"/>
          <w:sz w:val="28"/>
          <w:u w:val="single"/>
        </w:rPr>
        <w:tab/>
        <w:t>a. Thực hiện nghiêm quy định của Luật Tổ chức Chính quyền địa phương, Nghị định số 08/2016/NĐ-CP ngày 25/01/2016 của Chính phủ về số lượng, cơ cấu thành viên Ủy ban nhân dân, nhất là số lượng Phó Chủ tịch Ủy ban nhân dân cấp huyện, cấ</w:t>
      </w:r>
      <w:r>
        <w:rPr>
          <w:rFonts w:ascii="Times New Roman" w:eastAsia="Times New Roman" w:hAnsi="Times New Roman" w:cs="Times New Roman"/>
          <w:color w:val="000000"/>
          <w:spacing w:val="-4"/>
          <w:sz w:val="28"/>
          <w:u w:val="single"/>
        </w:rPr>
        <w:t xml:space="preserve">p xã. Huyện Quảng Trạch và thị xã Ba Đồn sau khi chia tách chưa được phận loại đơn vị hành chính, khẩn trương trình cơ quan có thẩm quyền xem xét, quyết định phân loại đế có căn cứ xác định số lượng Phó Chủ tịch Ủy ban nhân dân theo quy định. </w:t>
      </w:r>
    </w:p>
    <w:p w:rsidR="00FE294B" w:rsidRDefault="00B64135">
      <w:pPr>
        <w:tabs>
          <w:tab w:val="left" w:pos="567"/>
        </w:tabs>
        <w:spacing w:before="60" w:after="0" w:line="240" w:lineRule="auto"/>
        <w:jc w:val="both"/>
        <w:rPr>
          <w:rFonts w:ascii="Times New Roman" w:eastAsia="Times New Roman" w:hAnsi="Times New Roman" w:cs="Times New Roman"/>
          <w:color w:val="000000"/>
          <w:spacing w:val="-2"/>
          <w:sz w:val="28"/>
          <w:u w:val="single"/>
        </w:rPr>
      </w:pPr>
      <w:r>
        <w:rPr>
          <w:rFonts w:ascii="Times New Roman" w:eastAsia="Times New Roman" w:hAnsi="Times New Roman" w:cs="Times New Roman"/>
          <w:color w:val="000000"/>
          <w:spacing w:val="-2"/>
          <w:sz w:val="28"/>
          <w:u w:val="single"/>
        </w:rPr>
        <w:tab/>
        <w:t xml:space="preserve">b. </w:t>
      </w:r>
      <w:r>
        <w:rPr>
          <w:rFonts w:ascii="Times New Roman" w:eastAsia="Times New Roman" w:hAnsi="Times New Roman" w:cs="Times New Roman"/>
          <w:color w:val="000000"/>
          <w:spacing w:val="-2"/>
          <w:sz w:val="28"/>
          <w:u w:val="single"/>
        </w:rPr>
        <w:t>Đối với những nơi tăng thêm Phó Chủ tịch Ủy ban nhân dân các cấp để thực hiện chủ trương luân chuyển cán bộ theo kết luận, thông báo của Ban Thường vụ Tỉnh ủy thì tiếp tục giữ nguyên trong nhiệm kỳ 2016 - 2021. Khi nhân sự tăng thêm được cơ quan có thẩm qu</w:t>
      </w:r>
      <w:r>
        <w:rPr>
          <w:rFonts w:ascii="Times New Roman" w:eastAsia="Times New Roman" w:hAnsi="Times New Roman" w:cs="Times New Roman"/>
          <w:color w:val="000000"/>
          <w:spacing w:val="-2"/>
          <w:sz w:val="28"/>
          <w:u w:val="single"/>
        </w:rPr>
        <w:t>yền bổ nhiệm, giới thiệu để bầu giữ chức vụ cao hơn hoặc điều chuyển bố trí, phân công công tác khác hoặc thôi việc, nghỉ hưu thì không bổ sung nhân sự mới thay thế để bảo đảm số lượng Phó Chủ tịch Ủy ban nhân dân tại địa phương đó theo đúng quy định của L</w:t>
      </w:r>
      <w:r>
        <w:rPr>
          <w:rFonts w:ascii="Times New Roman" w:eastAsia="Times New Roman" w:hAnsi="Times New Roman" w:cs="Times New Roman"/>
          <w:color w:val="000000"/>
          <w:spacing w:val="-2"/>
          <w:sz w:val="28"/>
          <w:u w:val="single"/>
        </w:rPr>
        <w:t>uật Tổ chức Chính quyền địa phương.</w:t>
      </w:r>
    </w:p>
    <w:p w:rsidR="00FE294B" w:rsidRDefault="00B64135">
      <w:pPr>
        <w:spacing w:before="60" w:after="0" w:line="240" w:lineRule="auto"/>
        <w:ind w:firstLine="567"/>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lastRenderedPageBreak/>
        <w:t>3. Trách nhiệm của Thường trực Hội đồng nhân dân, Chủ tịch Ủy ban nhân dân cấp huyện, cấp xã trong việc rà soát tiêu chuẩn, điều kiện nhân sự ứng cử thành viên Ủy ban nhân dân các cấp</w:t>
      </w:r>
    </w:p>
    <w:p w:rsidR="00FE294B" w:rsidRDefault="00B64135">
      <w:pPr>
        <w:spacing w:before="60" w:after="0" w:line="240" w:lineRule="auto"/>
        <w:ind w:firstLine="567"/>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Thường trực Hội đồng nhân dân, Chủ t</w:t>
      </w:r>
      <w:r>
        <w:rPr>
          <w:rFonts w:ascii="Times New Roman" w:eastAsia="Times New Roman" w:hAnsi="Times New Roman" w:cs="Times New Roman"/>
          <w:color w:val="000000"/>
          <w:sz w:val="28"/>
          <w:u w:val="single"/>
        </w:rPr>
        <w:t>ịch Ủy ban nhân dân cấp huyện, cấp xã phối hợp với Ban Thường vụ cấp ủy cùng cấp tiến hành rà soát chặt chẽ tiêu chuẩn, điều kiện, độ tuổi, phải thẩm tra kỹ và có kết luận bằng văn bản về tiêu chuẩn chính trị</w:t>
      </w:r>
      <w:r>
        <w:rPr>
          <w:rFonts w:ascii="Times New Roman" w:eastAsia="Times New Roman" w:hAnsi="Times New Roman" w:cs="Times New Roman"/>
          <w:b/>
          <w:color w:val="000000"/>
          <w:sz w:val="28"/>
          <w:u w:val="single"/>
        </w:rPr>
        <w:t xml:space="preserve"> </w:t>
      </w:r>
      <w:r>
        <w:rPr>
          <w:rFonts w:ascii="Times New Roman" w:eastAsia="Times New Roman" w:hAnsi="Times New Roman" w:cs="Times New Roman"/>
          <w:color w:val="000000"/>
          <w:sz w:val="28"/>
          <w:u w:val="single"/>
        </w:rPr>
        <w:t>(lịch sử chính trị và chính trị hiện nay), bằng</w:t>
      </w:r>
      <w:r>
        <w:rPr>
          <w:rFonts w:ascii="Times New Roman" w:eastAsia="Times New Roman" w:hAnsi="Times New Roman" w:cs="Times New Roman"/>
          <w:color w:val="000000"/>
          <w:sz w:val="28"/>
          <w:u w:val="single"/>
        </w:rPr>
        <w:t xml:space="preserve"> cấp đào tạo, kết quả thực</w:t>
      </w:r>
      <w:r>
        <w:rPr>
          <w:rFonts w:ascii="Times New Roman" w:eastAsia="Times New Roman" w:hAnsi="Times New Roman" w:cs="Times New Roman"/>
          <w:b/>
          <w:color w:val="000000"/>
          <w:sz w:val="28"/>
          <w:u w:val="single"/>
        </w:rPr>
        <w:t xml:space="preserve"> </w:t>
      </w:r>
      <w:r>
        <w:rPr>
          <w:rFonts w:ascii="Times New Roman" w:eastAsia="Times New Roman" w:hAnsi="Times New Roman" w:cs="Times New Roman"/>
          <w:color w:val="000000"/>
          <w:sz w:val="28"/>
          <w:u w:val="single"/>
        </w:rPr>
        <w:t>hiện chức trách nhiệm vụ được giao (trong 03 năm tính đến thời điểm đề xuất) đối với nhân sự được đề nghị ứng cử thành viên Ủy ban nhân dân các cấp. Chịu trách nhiệm trước pháp luật và trước cơ quan cấp trên đối với người được gi</w:t>
      </w:r>
      <w:r>
        <w:rPr>
          <w:rFonts w:ascii="Times New Roman" w:eastAsia="Times New Roman" w:hAnsi="Times New Roman" w:cs="Times New Roman"/>
          <w:color w:val="000000"/>
          <w:sz w:val="28"/>
          <w:u w:val="single"/>
        </w:rPr>
        <w:t>ới thiệu để Hội đồng nhân dân cùng cấp bầu thành viên Ủy ban nhân dân.</w:t>
      </w:r>
    </w:p>
    <w:p w:rsidR="00FE294B" w:rsidRDefault="00B64135">
      <w:pPr>
        <w:spacing w:before="60" w:after="0" w:line="240" w:lineRule="auto"/>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ab/>
        <w:t>4. Trách nhiệm của cơ quan có thẩm quyền thẩm định hồ sơ phê chuẩn kết quả bầu, miễn nhiệm, bãi nhiệm Chủ tịch, Phó Chủ tịch Ủy ban nhân dân các cấp; đề nghị điều động, cách chức Chủ t</w:t>
      </w:r>
      <w:r>
        <w:rPr>
          <w:rFonts w:ascii="Times New Roman" w:eastAsia="Times New Roman" w:hAnsi="Times New Roman" w:cs="Times New Roman"/>
          <w:color w:val="000000"/>
          <w:sz w:val="28"/>
          <w:u w:val="single"/>
        </w:rPr>
        <w:t>ịch, Phó Chủ tịch Ủy ban nhân dân và giao quyền Chủ tịch Ủy ban nhân dân</w:t>
      </w:r>
    </w:p>
    <w:p w:rsidR="00FE294B" w:rsidRDefault="00B64135">
      <w:pPr>
        <w:spacing w:before="60" w:after="0" w:line="240" w:lineRule="auto"/>
        <w:jc w:val="both"/>
        <w:rPr>
          <w:rFonts w:ascii="Times New Roman" w:eastAsia="Times New Roman" w:hAnsi="Times New Roman" w:cs="Times New Roman"/>
          <w:color w:val="000000"/>
          <w:spacing w:val="-2"/>
          <w:sz w:val="28"/>
          <w:u w:val="single"/>
        </w:rPr>
      </w:pPr>
      <w:r>
        <w:rPr>
          <w:rFonts w:ascii="Times New Roman" w:eastAsia="Times New Roman" w:hAnsi="Times New Roman" w:cs="Times New Roman"/>
          <w:color w:val="000000"/>
          <w:sz w:val="28"/>
          <w:u w:val="single"/>
        </w:rPr>
        <w:tab/>
      </w:r>
      <w:r>
        <w:rPr>
          <w:rFonts w:ascii="Times New Roman" w:eastAsia="Times New Roman" w:hAnsi="Times New Roman" w:cs="Times New Roman"/>
          <w:color w:val="000000"/>
          <w:spacing w:val="-2"/>
          <w:sz w:val="28"/>
          <w:u w:val="single"/>
        </w:rPr>
        <w:t>a. Sở Nội vụ, Phòng Nội vụ cấp huyện căn cứ phạm vi, trách nhiệm được giao rà soát, thẩm định chặt chẽ về số lượng, tiêu chuẩn, điều kiện, độ tuổi Phó Chủ tịch Ủy ban nhân dân; hồ sơ</w:t>
      </w:r>
      <w:r>
        <w:rPr>
          <w:rFonts w:ascii="Times New Roman" w:eastAsia="Times New Roman" w:hAnsi="Times New Roman" w:cs="Times New Roman"/>
          <w:color w:val="000000"/>
          <w:spacing w:val="-2"/>
          <w:sz w:val="28"/>
          <w:u w:val="single"/>
        </w:rPr>
        <w:t>, quy trình, thủ tục bầu, miễn nhiệm, bãi nhiệm Chủ tịch, Phó Chủ tịch Ủy ban nhân dân; điều động, cách chức Chủ tịch, Phó Chủ tịch Ủy ban nhân dân và giao quyền Chủ tịch Ủy ban nhân dân. Trường hợp đề nghị không đúng về số lượng Phó Chủ tịch Ủy ban nhân d</w:t>
      </w:r>
      <w:r>
        <w:rPr>
          <w:rFonts w:ascii="Times New Roman" w:eastAsia="Times New Roman" w:hAnsi="Times New Roman" w:cs="Times New Roman"/>
          <w:color w:val="000000"/>
          <w:spacing w:val="-2"/>
          <w:sz w:val="28"/>
          <w:u w:val="single"/>
        </w:rPr>
        <w:t>ân, không đủ tiêu chuẩn, điều kiện, độ tuổi, chưa thực hiện đúng quy trình, thủ tục, hồ sơ theo quy định hoặc nhận được đơn thư khiếu nại, tố cáo liên quan đến người được bầu Chủ tịch, Phó Chủ tịch Ủy ban nhân dân nhưng chưa được cấp có thẩm quyền xem xét,</w:t>
      </w:r>
      <w:r>
        <w:rPr>
          <w:rFonts w:ascii="Times New Roman" w:eastAsia="Times New Roman" w:hAnsi="Times New Roman" w:cs="Times New Roman"/>
          <w:color w:val="000000"/>
          <w:spacing w:val="-2"/>
          <w:sz w:val="28"/>
          <w:u w:val="single"/>
        </w:rPr>
        <w:t xml:space="preserve"> xử lý thì có ý kiến để chính quyền địa phương bổ sung, giải trình hoặc báo cáo Chủ tịch Ủy ban nhân dân tỉnh (đối với nhân sự Chủ tịch, Phó Chủ tịch Ủy ban nhân dân cấp huyện), báo cáo Chủ tịch Ủy ban nhân dân cấp huyện (đối với nhân sự Chủ tịch, Phó Chủ </w:t>
      </w:r>
      <w:r>
        <w:rPr>
          <w:rFonts w:ascii="Times New Roman" w:eastAsia="Times New Roman" w:hAnsi="Times New Roman" w:cs="Times New Roman"/>
          <w:color w:val="000000"/>
          <w:spacing w:val="-2"/>
          <w:sz w:val="28"/>
          <w:u w:val="single"/>
        </w:rPr>
        <w:t>tịch Ủy ban nhần dân cấp xã) xem xét; quyết định.</w:t>
      </w:r>
    </w:p>
    <w:p w:rsidR="00FE294B" w:rsidRDefault="00B64135">
      <w:pPr>
        <w:spacing w:before="60" w:after="0" w:line="240" w:lineRule="auto"/>
        <w:jc w:val="both"/>
        <w:rPr>
          <w:rFonts w:ascii="Times New Roman" w:eastAsia="Times New Roman" w:hAnsi="Times New Roman" w:cs="Times New Roman"/>
          <w:color w:val="000000"/>
          <w:spacing w:val="-2"/>
          <w:sz w:val="28"/>
          <w:u w:val="single"/>
        </w:rPr>
      </w:pPr>
      <w:r>
        <w:rPr>
          <w:rFonts w:ascii="Times New Roman" w:eastAsia="Times New Roman" w:hAnsi="Times New Roman" w:cs="Times New Roman"/>
          <w:color w:val="000000"/>
          <w:sz w:val="28"/>
          <w:u w:val="single"/>
        </w:rPr>
        <w:tab/>
        <w:t>b. Sở Nội vụ chịu trách nhiệm tr</w:t>
      </w:r>
      <w:r>
        <w:rPr>
          <w:rFonts w:ascii="Times New Roman" w:eastAsia="Times New Roman" w:hAnsi="Times New Roman" w:cs="Times New Roman"/>
          <w:color w:val="000000"/>
          <w:sz w:val="28"/>
          <w:u w:val="single"/>
        </w:rPr>
        <w:t>ước pháp luật và trước Chủ tịch UBND tỉnh khi thẩm định hồ sơ phê chuẩn kết quả bầu Chủ tịch, Phó Chủ tịch Ủy ban nhân dân cấp huyện về số lựợng, tiêu chuẩn, điều kiện, việc tuân thủ quy trình, thủ tục bầu, nội dung hồ sơ thẩm định theo quy định của Luật t</w:t>
      </w:r>
      <w:r>
        <w:rPr>
          <w:rFonts w:ascii="Times New Roman" w:eastAsia="Times New Roman" w:hAnsi="Times New Roman" w:cs="Times New Roman"/>
          <w:color w:val="000000"/>
          <w:sz w:val="28"/>
          <w:u w:val="single"/>
        </w:rPr>
        <w:t>ổ chức Chính quyền địa phương và Nghị định số 08/2016/NĐ-CP ngày 25 tháng 01 năm 2016 của Chính phủ. Tham mưu</w:t>
      </w:r>
      <w:r>
        <w:rPr>
          <w:rFonts w:ascii="Times New Roman" w:eastAsia="Times New Roman" w:hAnsi="Times New Roman" w:cs="Times New Roman"/>
          <w:color w:val="000000"/>
          <w:spacing w:val="-2"/>
          <w:sz w:val="28"/>
          <w:u w:val="single"/>
        </w:rPr>
        <w:t xml:space="preserve"> giúp Chủ tịch UBND tỉnh  rà soát, tổng họp ý kiến các địa phương liên quan đến quy định của pháp luật về số lượng, cơ cấu và quy trình, thủ tục bầ</w:t>
      </w:r>
      <w:r>
        <w:rPr>
          <w:rFonts w:ascii="Times New Roman" w:eastAsia="Times New Roman" w:hAnsi="Times New Roman" w:cs="Times New Roman"/>
          <w:color w:val="000000"/>
          <w:spacing w:val="-2"/>
          <w:sz w:val="28"/>
          <w:u w:val="single"/>
        </w:rPr>
        <w:t xml:space="preserve">u, từ chức, miễn nhiệm, bãi nhiệm, điều động, cách chức thành viên Ủy ban nhân dân cấp huyện, cấp xã, nhất là những quy định không còn phù hợp với thực tiễn để kiến nghị cấp có thẩm quyền xem xét, sửa đối, bổ sung cho phù hợp. </w:t>
      </w:r>
    </w:p>
    <w:p w:rsidR="00FE294B" w:rsidRDefault="00B64135">
      <w:pPr>
        <w:spacing w:before="60" w:after="0"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5. Xử lý trách nhiệm của các</w:t>
      </w:r>
      <w:r>
        <w:rPr>
          <w:rFonts w:ascii="Times New Roman" w:eastAsia="Times New Roman" w:hAnsi="Times New Roman" w:cs="Times New Roman"/>
          <w:color w:val="000000"/>
          <w:sz w:val="28"/>
          <w:u w:val="single"/>
        </w:rPr>
        <w:t xml:space="preserve"> cơ quan, tổ chức, cá nhân</w:t>
      </w:r>
    </w:p>
    <w:p w:rsidR="00FE294B" w:rsidRDefault="00B64135">
      <w:pPr>
        <w:spacing w:before="60" w:after="0" w:line="240" w:lineRule="auto"/>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lastRenderedPageBreak/>
        <w:t>Cơ quan, tổ chức, cá nhân làm trái, quy định về số lượng, cơ cấu và quy trình, thủ tục bầu, từ chức, miễn nhiệm, bãi nhiệm, điều động, cách chức thành viên Ủy ban nhân dân các cấp phải bị xem xét xử lý trách nhiệm theo quy định c</w:t>
      </w:r>
      <w:r>
        <w:rPr>
          <w:rFonts w:ascii="Times New Roman" w:eastAsia="Times New Roman" w:hAnsi="Times New Roman" w:cs="Times New Roman"/>
          <w:color w:val="000000"/>
          <w:sz w:val="28"/>
          <w:u w:val="single"/>
        </w:rPr>
        <w:t>ủa Đảng và pháp luật.</w:t>
      </w:r>
    </w:p>
    <w:p w:rsidR="00FE294B" w:rsidRDefault="00B64135">
      <w:pPr>
        <w:spacing w:before="60" w:after="0" w:line="240" w:lineRule="auto"/>
        <w:ind w:right="40" w:firstLine="567"/>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Giám đốc Sở Nội vụ chịu trách nhiệm theo dõi, đôn đốc và kiểm tra việc thực hiện, báo cáo Chủ tịch Ủy ban nhân dân tỉnh định kỳ hàng năm</w:t>
      </w:r>
      <w:proofErr w:type="gramStart"/>
      <w:r>
        <w:rPr>
          <w:rFonts w:ascii="Times New Roman" w:eastAsia="Times New Roman" w:hAnsi="Times New Roman" w:cs="Times New Roman"/>
          <w:color w:val="000000"/>
          <w:sz w:val="28"/>
          <w:u w:val="single"/>
        </w:rPr>
        <w:t>./</w:t>
      </w:r>
      <w:proofErr w:type="gramEnd"/>
      <w:r>
        <w:rPr>
          <w:rFonts w:ascii="Times New Roman" w:eastAsia="Times New Roman" w:hAnsi="Times New Roman" w:cs="Times New Roman"/>
          <w:color w:val="000000"/>
          <w:sz w:val="28"/>
          <w:u w:val="single"/>
        </w:rPr>
        <w:t>.</w:t>
      </w:r>
    </w:p>
    <w:p w:rsidR="00FE294B" w:rsidRDefault="00FE294B">
      <w:pPr>
        <w:spacing w:before="60" w:after="0" w:line="240" w:lineRule="auto"/>
        <w:ind w:right="40" w:firstLine="567"/>
        <w:jc w:val="both"/>
        <w:rPr>
          <w:rFonts w:ascii="Times New Roman" w:eastAsia="Times New Roman" w:hAnsi="Times New Roman" w:cs="Times New Roman"/>
          <w:color w:val="000000"/>
          <w:sz w:val="18"/>
          <w:u w:val="single"/>
        </w:rPr>
      </w:pPr>
    </w:p>
    <w:p w:rsidR="00FE294B" w:rsidRDefault="00B64135">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i/>
          <w:color w:val="000000"/>
          <w:sz w:val="24"/>
        </w:rPr>
        <w:t>Nơi nhận:</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6"/>
        </w:rPr>
        <w:t xml:space="preserve">TM. ỦY BAN NHÂN DÂN     </w:t>
      </w:r>
    </w:p>
    <w:p w:rsidR="00FE294B" w:rsidRDefault="00B6413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rPr>
        <w:t>- Như trên;</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t xml:space="preserve">  </w:t>
      </w:r>
      <w:r>
        <w:rPr>
          <w:rFonts w:ascii="Times New Roman" w:eastAsia="Times New Roman" w:hAnsi="Times New Roman" w:cs="Times New Roman"/>
          <w:b/>
          <w:color w:val="000000"/>
          <w:sz w:val="26"/>
        </w:rPr>
        <w:t>CHỦ TỊCH</w:t>
      </w:r>
      <w:r>
        <w:rPr>
          <w:rFonts w:ascii="Times New Roman" w:eastAsia="Times New Roman" w:hAnsi="Times New Roman" w:cs="Times New Roman"/>
          <w:color w:val="000000"/>
          <w:sz w:val="26"/>
        </w:rPr>
        <w:t xml:space="preserve"> </w:t>
      </w:r>
      <w:r>
        <w:rPr>
          <w:rFonts w:ascii="Times New Roman" w:eastAsia="Times New Roman" w:hAnsi="Times New Roman" w:cs="Times New Roman"/>
          <w:color w:val="000000"/>
          <w:sz w:val="24"/>
        </w:rPr>
        <w:t xml:space="preserve">                     </w:t>
      </w:r>
    </w:p>
    <w:p w:rsidR="00FE294B" w:rsidRDefault="00B641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Thủ tướng Chính phủ;</w:t>
      </w:r>
    </w:p>
    <w:p w:rsidR="00FE294B" w:rsidRDefault="00B641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Bộ Nội vụ;                      Để báo cáo</w:t>
      </w:r>
    </w:p>
    <w:p w:rsidR="00FE294B" w:rsidRDefault="00B641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Ban TV Tỉnh uỷ;</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FE294B" w:rsidRDefault="00B641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TT HĐND tỉnh;                                                                                          Đã ký</w:t>
      </w:r>
    </w:p>
    <w:p w:rsidR="00FE294B" w:rsidRDefault="00B641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Ban Tổ chức Tỉnh </w:t>
      </w:r>
      <w:r>
        <w:rPr>
          <w:rFonts w:ascii="Times New Roman" w:eastAsia="Times New Roman" w:hAnsi="Times New Roman" w:cs="Times New Roman"/>
          <w:color w:val="000000"/>
        </w:rPr>
        <w:t>ủy;</w:t>
      </w:r>
    </w:p>
    <w:p w:rsidR="00FE294B" w:rsidRDefault="00B641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Chủ tịch, các PCT UBND tỉnh;</w:t>
      </w:r>
    </w:p>
    <w:p w:rsidR="00FE294B" w:rsidRDefault="00B641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TT HĐND huyện, TX, TP;</w:t>
      </w:r>
    </w:p>
    <w:p w:rsidR="00FE294B" w:rsidRDefault="00B641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LĐ VP UBND tỉnh;</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sz w:val="28"/>
        </w:rPr>
        <w:t>Nguyễn Hữu Hoài</w:t>
      </w:r>
    </w:p>
    <w:p w:rsidR="00FE294B" w:rsidRDefault="00B6413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Lưu: VT, NC.</w:t>
      </w:r>
    </w:p>
    <w:p w:rsidR="00FE294B" w:rsidRDefault="00FE294B">
      <w:pPr>
        <w:spacing w:after="0" w:line="240" w:lineRule="auto"/>
        <w:rPr>
          <w:rFonts w:ascii="Times New Roman" w:eastAsia="Times New Roman" w:hAnsi="Times New Roman" w:cs="Times New Roman"/>
          <w:color w:val="000000"/>
          <w:sz w:val="26"/>
        </w:rPr>
      </w:pPr>
    </w:p>
    <w:p w:rsidR="00FE294B" w:rsidRDefault="00B64135">
      <w:pPr>
        <w:spacing w:before="120" w:after="0" w:line="240" w:lineRule="auto"/>
        <w:ind w:left="5041" w:firstLine="7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FE294B" w:rsidRDefault="00FE294B">
      <w:pPr>
        <w:spacing w:after="0" w:line="240" w:lineRule="auto"/>
        <w:rPr>
          <w:rFonts w:ascii="Times New Roman" w:eastAsia="Times New Roman" w:hAnsi="Times New Roman" w:cs="Times New Roman"/>
          <w:b/>
          <w:color w:val="000000"/>
          <w:sz w:val="28"/>
        </w:rPr>
      </w:pPr>
    </w:p>
    <w:sectPr w:rsidR="00FE2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FE294B"/>
    <w:rsid w:val="00B64135"/>
    <w:rsid w:val="00FE2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2017-06-30T08:24:00Z</dcterms:created>
  <dcterms:modified xsi:type="dcterms:W3CDTF">2017-06-30T08:24:00Z</dcterms:modified>
</cp:coreProperties>
</file>