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ED" w:rsidRDefault="00625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</w:rPr>
      </w:pPr>
    </w:p>
    <w:p w:rsidR="00625BED" w:rsidRDefault="00BA0BEA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369"/>
        <w:gridCol w:w="5953"/>
      </w:tblGrid>
      <w:tr w:rsidR="00625BED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3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ỦY BAN NHÂN DÂN</w:t>
            </w:r>
          </w:p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TỈNH QUẢNG BÌNH</w:t>
            </w:r>
          </w:p>
          <w:p w:rsidR="00625BED" w:rsidRDefault="0062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</w:rPr>
            </w:pPr>
          </w:p>
          <w:p w:rsidR="00625BED" w:rsidRDefault="0062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</w:rPr>
            </w:pPr>
          </w:p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1129</w:t>
            </w:r>
            <w:r>
              <w:rPr>
                <w:rFonts w:ascii="Times New Roman" w:eastAsia="Times New Roman" w:hAnsi="Times New Roman" w:cs="Times New Roman"/>
                <w:sz w:val="26"/>
              </w:rPr>
              <w:t>/UBND-KTTH</w:t>
            </w: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</w:rPr>
            </w:pPr>
          </w:p>
          <w:p w:rsidR="00625BED" w:rsidRDefault="00BA0BE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khai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149/2016/NĐ-CP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11/11/2016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phủ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đối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với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sản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phẩm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sang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giá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CỘNG HOÀ XÃ HỘI CHỦ NGHĨA VIỆT NAM</w:t>
            </w:r>
          </w:p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</w:rPr>
            </w:pPr>
          </w:p>
          <w:p w:rsidR="00625BED" w:rsidRDefault="00BA0BE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 27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2017</w:t>
            </w:r>
          </w:p>
        </w:tc>
      </w:tr>
      <w:tr w:rsidR="00625BE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3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BED" w:rsidRDefault="00BA0BEA">
            <w:pPr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Kính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BED" w:rsidRDefault="00625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5BED" w:rsidRDefault="00BA0BEA">
            <w:pPr>
              <w:numPr>
                <w:ilvl w:val="0"/>
                <w:numId w:val="1"/>
              </w:numPr>
              <w:spacing w:after="0" w:line="240" w:lineRule="auto"/>
              <w:ind w:left="34" w:hanging="142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ban,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625BED" w:rsidRDefault="00BA0BEA">
            <w:pPr>
              <w:numPr>
                <w:ilvl w:val="0"/>
                <w:numId w:val="1"/>
              </w:numPr>
              <w:spacing w:after="0" w:line="240" w:lineRule="auto"/>
              <w:ind w:left="34" w:hanging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UBND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huyện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xã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</w:tbl>
    <w:p w:rsidR="00625BED" w:rsidRDefault="00625BE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16"/>
        </w:rPr>
      </w:pP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25/11/2015,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</w:t>
      </w:r>
      <w:r>
        <w:rPr>
          <w:rFonts w:ascii="Times New Roman" w:eastAsia="Times New Roman" w:hAnsi="Times New Roman" w:cs="Times New Roman"/>
          <w:sz w:val="28"/>
        </w:rPr>
        <w:t>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97/2015/QH13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01/01/2017,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149/2016/NĐ-CP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11/11/2016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đổi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sung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177/2013/NĐ-CP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14/11/2013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tiết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một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09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</w:t>
      </w:r>
      <w:r>
        <w:rPr>
          <w:rFonts w:ascii="Times New Roman" w:eastAsia="Times New Roman" w:hAnsi="Times New Roman" w:cs="Times New Roman"/>
          <w:sz w:val="28"/>
        </w:rPr>
        <w:t>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thuộc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quyền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lệ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149/2016/NĐ-CP,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chưa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khẩn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tr</w:t>
      </w:r>
      <w:r>
        <w:rPr>
          <w:rFonts w:ascii="Times New Roman" w:eastAsia="Times New Roman" w:hAnsi="Times New Roman" w:cs="Times New Roman"/>
          <w:sz w:val="28"/>
        </w:rPr>
        <w:t>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tiếp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20/</w:t>
      </w:r>
      <w:r>
        <w:rPr>
          <w:rFonts w:ascii="Times New Roman" w:eastAsia="Times New Roman" w:hAnsi="Times New Roman" w:cs="Times New Roman"/>
          <w:sz w:val="28"/>
        </w:rPr>
        <w:t xml:space="preserve">12/2016,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44/2016/QĐ-UBND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sang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01/01/2017. </w:t>
      </w: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– chi, </w:t>
      </w:r>
      <w:proofErr w:type="spellStart"/>
      <w:r>
        <w:rPr>
          <w:rFonts w:ascii="Times New Roman" w:eastAsia="Times New Roman" w:hAnsi="Times New Roman" w:cs="Times New Roman"/>
          <w:sz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đắp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8"/>
        </w:rPr>
        <w:t>phí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ứng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từ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nguồn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qua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thiết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phải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đánh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</w:t>
      </w:r>
      <w:r>
        <w:rPr>
          <w:rFonts w:ascii="Times New Roman" w:eastAsia="Times New Roman" w:hAnsi="Times New Roman" w:cs="Times New Roman"/>
          <w:sz w:val="28"/>
        </w:rPr>
        <w:t>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đến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bằng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CPI)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sống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xuất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doanh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</w:t>
      </w:r>
      <w:r>
        <w:rPr>
          <w:rFonts w:ascii="Times New Roman" w:eastAsia="Times New Roman" w:hAnsi="Times New Roman" w:cs="Times New Roman"/>
          <w:sz w:val="28"/>
        </w:rPr>
        <w:t>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giao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</w:rPr>
        <w:t>thường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dõi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dịch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tham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mưu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kịp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hàng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hóa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d</w:t>
      </w:r>
      <w:r>
        <w:rPr>
          <w:rFonts w:ascii="Times New Roman" w:eastAsia="Times New Roman" w:hAnsi="Times New Roman" w:cs="Times New Roman"/>
          <w:sz w:val="28"/>
        </w:rPr>
        <w:t>ịch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luật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giá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nhằm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ổn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phần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mục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tiêu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soát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lạm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nước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Quốc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hội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phủ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ra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625BED" w:rsidRDefault="00BA0BEA">
      <w:pPr>
        <w:spacing w:after="0" w:line="252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Trong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trình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khăn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vướng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mắc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UBND </w:t>
      </w:r>
      <w:proofErr w:type="spellStart"/>
      <w:r>
        <w:rPr>
          <w:rFonts w:ascii="Times New Roman" w:eastAsia="Times New Roman" w:hAnsi="Times New Roman" w:cs="Times New Roman"/>
          <w:sz w:val="28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(qua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Tài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xem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xét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xử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</w:rPr>
        <w:t>./.</w:t>
      </w:r>
    </w:p>
    <w:p w:rsidR="00625BED" w:rsidRDefault="00625BE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320"/>
        <w:gridCol w:w="3752"/>
      </w:tblGrid>
      <w:tr w:rsidR="00625BED">
        <w:tblPrEx>
          <w:tblCellMar>
            <w:top w:w="0" w:type="dxa"/>
            <w:bottom w:w="0" w:type="dxa"/>
          </w:tblCellMar>
        </w:tblPrEx>
        <w:trPr>
          <w:trHeight w:val="3346"/>
        </w:trPr>
        <w:tc>
          <w:tcPr>
            <w:tcW w:w="5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BED" w:rsidRDefault="00BA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:</w:t>
            </w:r>
          </w:p>
          <w:p w:rsidR="00625BED" w:rsidRDefault="00BA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Tài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);                                             </w:t>
            </w:r>
          </w:p>
          <w:p w:rsidR="00625BED" w:rsidRDefault="00BA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CT,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PCT 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25BED" w:rsidRDefault="00BA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LĐ VPUBND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tỉnh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25BED" w:rsidRDefault="00BA0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ưu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VT, KTTH.</w:t>
            </w: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625BED" w:rsidRDefault="00625BED">
            <w:pPr>
              <w:spacing w:after="0" w:line="240" w:lineRule="auto"/>
              <w:jc w:val="center"/>
            </w:pPr>
          </w:p>
        </w:tc>
        <w:tc>
          <w:tcPr>
            <w:tcW w:w="37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TM. ỦY BAN NHÂN DÂN</w:t>
            </w:r>
          </w:p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KT. CHỦ TỊCH</w:t>
            </w:r>
          </w:p>
          <w:p w:rsidR="00625BED" w:rsidRDefault="00BA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>PHÓ CHỦ TỊCH</w:t>
            </w: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625BED" w:rsidRDefault="0062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</w:pPr>
          </w:p>
          <w:p w:rsidR="00625BED" w:rsidRDefault="0062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25BED" w:rsidRDefault="00625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625BED" w:rsidRDefault="00BA0BEA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Đã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ký</w:t>
            </w:r>
            <w:proofErr w:type="spellEnd"/>
          </w:p>
          <w:p w:rsidR="00625BED" w:rsidRDefault="00625BED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625BED" w:rsidRDefault="0062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625BED" w:rsidRDefault="00BA0BE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Xuân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Quang</w:t>
            </w:r>
            <w:proofErr w:type="spellEnd"/>
          </w:p>
        </w:tc>
      </w:tr>
    </w:tbl>
    <w:p w:rsidR="00625BED" w:rsidRDefault="00625BED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625BED" w:rsidRDefault="00625BE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62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7404"/>
    <w:multiLevelType w:val="multilevel"/>
    <w:tmpl w:val="BB08A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5BED"/>
    <w:rsid w:val="00625BED"/>
    <w:rsid w:val="00BA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2017-06-28T02:11:00Z</dcterms:created>
  <dcterms:modified xsi:type="dcterms:W3CDTF">2017-06-28T02:11:00Z</dcterms:modified>
</cp:coreProperties>
</file>