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3261"/>
        <w:gridCol w:w="6158"/>
      </w:tblGrid>
      <w:tr w:rsidR="00DC729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C7290" w:rsidRDefault="00F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ỦY BAN NHÂN DÂN</w:t>
            </w:r>
          </w:p>
          <w:p w:rsidR="00DC7290" w:rsidRDefault="00F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TỈNH QUẢNG BÌNH</w:t>
            </w:r>
          </w:p>
          <w:p w:rsidR="00DC7290" w:rsidRDefault="00DC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DC7290" w:rsidRDefault="00FA2256" w:rsidP="00FA225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 994/</w:t>
            </w:r>
            <w:r>
              <w:rPr>
                <w:rFonts w:ascii="Times New Roman" w:eastAsia="Times New Roman" w:hAnsi="Times New Roman" w:cs="Times New Roman"/>
                <w:sz w:val="28"/>
              </w:rPr>
              <w:t>UBND-KTN</w:t>
            </w:r>
          </w:p>
        </w:tc>
        <w:tc>
          <w:tcPr>
            <w:tcW w:w="6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C7290" w:rsidRDefault="00F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CỘNG HOÀ XÃ HỘI CHỦ NGHĨA VIỆT NAM</w:t>
            </w:r>
          </w:p>
          <w:p w:rsidR="00DC7290" w:rsidRDefault="00FA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phúc</w:t>
            </w:r>
            <w:proofErr w:type="spellEnd"/>
          </w:p>
          <w:p w:rsidR="00DC7290" w:rsidRDefault="00DC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DC7290" w:rsidRDefault="00FA2256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09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2017</w:t>
            </w:r>
          </w:p>
        </w:tc>
      </w:tr>
      <w:tr w:rsidR="00DC729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C7290" w:rsidRDefault="00FA22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V/v: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tăng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cường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nâng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thác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bền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vững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ước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sạch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nông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thôn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trung</w:t>
            </w:r>
            <w:proofErr w:type="spellEnd"/>
          </w:p>
        </w:tc>
        <w:tc>
          <w:tcPr>
            <w:tcW w:w="6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C7290" w:rsidRDefault="00DC72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C7290" w:rsidRDefault="00DC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C7290" w:rsidRDefault="00FA22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Kính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C7290" w:rsidRDefault="00DC729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tướng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35/CT-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27/12/2016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tăng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cường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nâng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</w:rPr>
        <w:t>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bền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vững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; ý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1432/KHĐT-KT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26/5/2017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tăng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cường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nâng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bền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vững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đẩy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mạnh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yêu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:  </w:t>
      </w: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color w:val="FFFFFF"/>
          <w:spacing w:val="-2"/>
          <w:sz w:val="28"/>
        </w:rPr>
        <w:t>‘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2016,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Chương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MTQG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</w:rPr>
        <w:t>ước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còn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chương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độc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nguồn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nâng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chữa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lồng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ghép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Chương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MTQG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rất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hạn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(do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Chương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tiêu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rộng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khó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nguồn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trương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chung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yêu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mưu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tỉ</w:t>
      </w:r>
      <w:r>
        <w:rPr>
          <w:rFonts w:ascii="Times New Roman" w:eastAsia="Times New Roman" w:hAnsi="Times New Roman" w:cs="Times New Roman"/>
          <w:spacing w:val="-2"/>
          <w:sz w:val="28"/>
        </w:rPr>
        <w:t>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đẩy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mạnh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lĩnh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khuyến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khích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phần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</w:t>
      </w:r>
      <w:r>
        <w:rPr>
          <w:rFonts w:ascii="Times New Roman" w:eastAsia="Times New Roman" w:hAnsi="Times New Roman" w:cs="Times New Roman"/>
          <w:sz w:val="28"/>
        </w:rPr>
        <w:t>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131/2009/QĐ-</w:t>
      </w:r>
      <w:proofErr w:type="spellStart"/>
      <w:r>
        <w:rPr>
          <w:rFonts w:ascii="Times New Roman" w:eastAsia="Times New Roman" w:hAnsi="Times New Roman" w:cs="Times New Roman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02/11/2009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54/2013/TT-BTC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04/5/2013 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FFFF"/>
          <w:sz w:val="28"/>
        </w:rPr>
        <w:t>‘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FFFF"/>
          <w:sz w:val="28"/>
        </w:rPr>
        <w:t>‘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lại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gắn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nâng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</w:t>
      </w:r>
      <w:r>
        <w:rPr>
          <w:rFonts w:ascii="Times New Roman" w:eastAsia="Times New Roman" w:hAnsi="Times New Roman" w:cs="Times New Roman"/>
          <w:sz w:val="28"/>
        </w:rPr>
        <w:t>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cụm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gọi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nâng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kéo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</w:t>
      </w:r>
      <w:r>
        <w:rPr>
          <w:rFonts w:ascii="Times New Roman" w:eastAsia="Times New Roman" w:hAnsi="Times New Roman" w:cs="Times New Roman"/>
          <w:sz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(1)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(2)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thấp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bao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gồm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05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Long </w:t>
      </w:r>
      <w:proofErr w:type="spellStart"/>
      <w:r>
        <w:rPr>
          <w:rFonts w:ascii="Times New Roman" w:eastAsia="Times New Roman" w:hAnsi="Times New Roman" w:cs="Times New Roman"/>
          <w:sz w:val="28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Hữu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30/6/2017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nâng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- Ban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ưu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tiên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8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mô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vận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kêu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gọi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cải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nâng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nối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...). </w:t>
      </w: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- Ban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8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</w:rPr>
        <w:t>ên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37/2014/TTLT-BNNPTNT-BTC-BKHĐT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31/10/2014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30/8/2017.</w:t>
      </w: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712/QĐ-</w:t>
      </w:r>
      <w:proofErr w:type="spellStart"/>
      <w:r>
        <w:rPr>
          <w:rFonts w:ascii="Times New Roman" w:eastAsia="Times New Roman" w:hAnsi="Times New Roman" w:cs="Times New Roman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26/5/2017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2017 - 2020.</w:t>
      </w:r>
    </w:p>
    <w:p w:rsidR="00DC7290" w:rsidRDefault="00FA2256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khẩn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076"/>
        <w:gridCol w:w="3870"/>
      </w:tblGrid>
      <w:tr w:rsidR="00DC72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290" w:rsidRDefault="00FA2256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C7290" w:rsidRDefault="00FA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C7290" w:rsidRDefault="00FA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TC, KH&amp;ĐT;</w:t>
            </w:r>
          </w:p>
          <w:p w:rsidR="00DC7290" w:rsidRDefault="00FA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huyện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C7290" w:rsidRDefault="00FA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NS&amp;VSMTNT;</w:t>
            </w:r>
          </w:p>
          <w:p w:rsidR="00DC7290" w:rsidRDefault="00FA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LĐVP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C7290" w:rsidRDefault="00FA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VT, CVNN.</w:t>
            </w:r>
          </w:p>
          <w:p w:rsidR="00DC7290" w:rsidRDefault="00DC7290">
            <w:pPr>
              <w:spacing w:after="0" w:line="240" w:lineRule="auto"/>
            </w:pPr>
          </w:p>
        </w:tc>
        <w:tc>
          <w:tcPr>
            <w:tcW w:w="3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290" w:rsidRDefault="00FA22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KT. CHỦ TỊCH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br/>
              <w:t xml:space="preserve">PHÓ CHỦ TỊCH </w:t>
            </w:r>
          </w:p>
          <w:p w:rsidR="00DC7290" w:rsidRDefault="00FA2256">
            <w:pPr>
              <w:tabs>
                <w:tab w:val="left" w:pos="135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ký</w:t>
            </w:r>
            <w:proofErr w:type="spellEnd"/>
          </w:p>
          <w:p w:rsidR="00DC7290" w:rsidRDefault="00FA2256">
            <w:pPr>
              <w:spacing w:before="12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Dũng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DC7290" w:rsidRDefault="00DC729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C7290" w:rsidRDefault="00DC729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C7290" w:rsidRDefault="00DC729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C7290" w:rsidRDefault="00DC729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C7290" w:rsidRDefault="00DC729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C7290" w:rsidRDefault="00DC729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DC7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7290"/>
    <w:rsid w:val="00DC7290"/>
    <w:rsid w:val="00FA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2017-06-12T09:07:00Z</dcterms:created>
  <dcterms:modified xsi:type="dcterms:W3CDTF">2017-06-12T09:07:00Z</dcterms:modified>
</cp:coreProperties>
</file>