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204"/>
        <w:gridCol w:w="6264"/>
      </w:tblGrid>
      <w:tr w:rsidR="002A11A6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3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ỦY BAN NHÂN DÂN</w:t>
            </w:r>
          </w:p>
          <w:p w:rsidR="002A11A6" w:rsidRDefault="00C5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TỈNH QUẢNG BÌNH</w:t>
            </w:r>
          </w:p>
          <w:p w:rsidR="002A11A6" w:rsidRDefault="00C53582" w:rsidP="00C53582">
            <w:pPr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 2064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/QĐ-UBND</w:t>
            </w:r>
          </w:p>
        </w:tc>
        <w:tc>
          <w:tcPr>
            <w:tcW w:w="6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CỘNG HÒA XÃ HỘI CHỦ NGHĨA VIỆT NAM</w:t>
            </w:r>
          </w:p>
          <w:p w:rsidR="002A11A6" w:rsidRDefault="00C5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phúc</w:t>
            </w:r>
            <w:proofErr w:type="spellEnd"/>
          </w:p>
          <w:p w:rsidR="002A11A6" w:rsidRDefault="00C53582">
            <w:pPr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 12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2017</w:t>
            </w:r>
          </w:p>
        </w:tc>
      </w:tr>
    </w:tbl>
    <w:p w:rsidR="002A11A6" w:rsidRDefault="00C535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QUYẾT ĐỊNH</w:t>
      </w:r>
    </w:p>
    <w:p w:rsidR="002A11A6" w:rsidRDefault="00C5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bãi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bỏ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</w:p>
    <w:p w:rsidR="002A11A6" w:rsidRDefault="00C5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Khiếu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nại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Thanh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</w:rPr>
        <w:t>Bình</w:t>
      </w:r>
      <w:proofErr w:type="spellEnd"/>
    </w:p>
    <w:p w:rsidR="002A11A6" w:rsidRDefault="002A11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A11A6" w:rsidRDefault="00C535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CHỦ TỊCH ỦY BAN NHÂN DÂN TỈNH QUẢNG BÌNH</w:t>
      </w:r>
    </w:p>
    <w:p w:rsidR="002A11A6" w:rsidRDefault="00C5358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chính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quyền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địa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19/6/2015;</w:t>
      </w:r>
    </w:p>
    <w:p w:rsidR="002A11A6" w:rsidRDefault="00C5358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63/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2010/NĐ-CP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08/6/2010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A11A6" w:rsidRDefault="00C5358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05/2014/TT-BTP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07/02/2014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niêm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</w:t>
      </w:r>
      <w:r>
        <w:rPr>
          <w:rFonts w:ascii="Times New Roman" w:eastAsia="Times New Roman" w:hAnsi="Times New Roman" w:cs="Times New Roman"/>
          <w:color w:val="000000"/>
          <w:sz w:val="28"/>
        </w:rPr>
        <w:t>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A11A6" w:rsidRDefault="00C5358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161/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-VP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09/5/2017,</w:t>
      </w:r>
    </w:p>
    <w:p w:rsidR="002A11A6" w:rsidRDefault="00C535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QUYẾT ĐỊNH:</w:t>
      </w:r>
    </w:p>
    <w:p w:rsidR="002A11A6" w:rsidRDefault="002A11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A11A6" w:rsidRDefault="00C5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Khiếu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A11A6" w:rsidRDefault="00C5358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</w:p>
    <w:p w:rsidR="002A11A6" w:rsidRDefault="00C5358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./.</w:t>
      </w:r>
    </w:p>
    <w:p w:rsidR="002A11A6" w:rsidRDefault="002A11A6">
      <w:pPr>
        <w:spacing w:before="60"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51"/>
        <w:gridCol w:w="4727"/>
      </w:tblGrid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:rsidR="002A11A6" w:rsidRDefault="00C53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</w:t>
            </w:r>
          </w:p>
          <w:p w:rsidR="002A11A6" w:rsidRDefault="00C53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A11A6" w:rsidRDefault="00C53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KSTTHC-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2A11A6" w:rsidRDefault="00C53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A11A6" w:rsidRDefault="00C53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Cổng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A11A6" w:rsidRDefault="00C53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VT, NC.</w:t>
            </w:r>
          </w:p>
        </w:tc>
        <w:tc>
          <w:tcPr>
            <w:tcW w:w="4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KT. CHỦ TỊCH</w:t>
            </w:r>
          </w:p>
          <w:p w:rsidR="002A11A6" w:rsidRDefault="00C5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PHÓ CHỦ TỊCH</w:t>
            </w:r>
          </w:p>
          <w:p w:rsidR="002A11A6" w:rsidRDefault="002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A11A6" w:rsidRDefault="002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A11A6" w:rsidRDefault="002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A11A6" w:rsidRDefault="002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2A11A6" w:rsidRDefault="002A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2A11A6" w:rsidRDefault="00C5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Hoàng</w:t>
            </w:r>
            <w:proofErr w:type="spellEnd"/>
          </w:p>
          <w:p w:rsidR="002A11A6" w:rsidRDefault="002A11A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A11A6" w:rsidRDefault="002A11A6">
            <w:pPr>
              <w:spacing w:after="0" w:line="240" w:lineRule="auto"/>
            </w:pPr>
          </w:p>
        </w:tc>
      </w:tr>
    </w:tbl>
    <w:p w:rsidR="002A11A6" w:rsidRDefault="00C5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  <w:lastRenderedPageBreak/>
        <w:t>DANH MỤC</w:t>
      </w:r>
    </w:p>
    <w:p w:rsidR="002A11A6" w:rsidRDefault="00C5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</w:rPr>
        <w:t xml:space="preserve">THỦ TỤC HÀNH CHÍNH BỊ BÃI BỎ TRONG LĨNH VỰC KHIẾU NẠI, </w:t>
      </w:r>
    </w:p>
    <w:p w:rsidR="002A11A6" w:rsidRDefault="00C5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</w:rPr>
        <w:t>TỐ CÁO, TIẾP CÔNG DÂN THUỘC THẨM QUYỀN GIẢI QUYẾT CỦA THANH TRA TỈNH VÀ UBND CẤP HUYỆN</w:t>
      </w:r>
    </w:p>
    <w:p w:rsidR="002A11A6" w:rsidRDefault="00C535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(Ban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        /QĐ-UBND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  <w:t>)</w:t>
      </w:r>
    </w:p>
    <w:p w:rsidR="002A11A6" w:rsidRDefault="002A11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9"/>
        <w:gridCol w:w="2176"/>
        <w:gridCol w:w="2675"/>
        <w:gridCol w:w="3918"/>
      </w:tblGrid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STT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 TTHC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chính</w:t>
            </w:r>
            <w:proofErr w:type="spellEnd"/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bãi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bỏ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TTHC</w:t>
            </w:r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I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tỉnh</w:t>
            </w:r>
            <w:proofErr w:type="spellEnd"/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252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T-QBI-187435-TT</w:t>
            </w:r>
          </w:p>
          <w:p w:rsidR="002A11A6" w:rsidRDefault="00C53582">
            <w:pPr>
              <w:tabs>
                <w:tab w:val="left" w:pos="252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181/QĐ-UBND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22/01/2015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đầu</w:t>
            </w:r>
            <w:proofErr w:type="spellEnd"/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TTHC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mới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254/QĐ-UBND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24/01/2017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02/2016/TT-TTCP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20/10/2016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sung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07/2013/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TT-TTCP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1585/QĐ-TTCP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21/6/2016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TTHC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phủ</w:t>
            </w:r>
            <w:proofErr w:type="spellEnd"/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T-QBI-187456-TT</w:t>
            </w:r>
          </w:p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181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22/01/2015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</w:t>
            </w: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2A11A6">
            <w:pPr>
              <w:rPr>
                <w:rFonts w:ascii="Calibri" w:eastAsia="Calibri" w:hAnsi="Calibri" w:cs="Calibri"/>
              </w:rPr>
            </w:pPr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T-QBI-187464-TT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3,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181/QĐ-UBND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22/01/2015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cáo</w:t>
            </w:r>
            <w:proofErr w:type="spellEnd"/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2A11A6">
            <w:pPr>
              <w:rPr>
                <w:rFonts w:ascii="Calibri" w:eastAsia="Calibri" w:hAnsi="Calibri" w:cs="Calibri"/>
              </w:rPr>
            </w:pPr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T-QBI-187475-TT</w:t>
            </w:r>
          </w:p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181/QĐ-UBND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22/01/2015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dân</w:t>
            </w:r>
            <w:proofErr w:type="spellEnd"/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2A11A6">
            <w:pPr>
              <w:rPr>
                <w:rFonts w:ascii="Calibri" w:eastAsia="Calibri" w:hAnsi="Calibri" w:cs="Calibri"/>
              </w:rPr>
            </w:pPr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T-QBI-187476-TT</w:t>
            </w:r>
          </w:p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5,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181/QĐ-UBND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22/01/2015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2A11A6">
            <w:pPr>
              <w:rPr>
                <w:rFonts w:ascii="Calibri" w:eastAsia="Calibri" w:hAnsi="Calibri" w:cs="Calibri"/>
              </w:rPr>
            </w:pPr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II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huyện</w:t>
            </w:r>
            <w:proofErr w:type="spellEnd"/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T-QBI-179654-TT</w:t>
            </w:r>
          </w:p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2592/QĐ-UBND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11/10/2011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đầu</w:t>
            </w:r>
            <w:proofErr w:type="spellEnd"/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TTHC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mới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255/QĐ-UBND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24/01/2017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75/2012/NĐ-CP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03/10/2012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07/2013/TT-TTCP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31/10/2013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02/2016/TT-TTCP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20/10/2016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sung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07/2013/TT-TTCP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1585/QĐ-TTCP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21/6/2016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TTHC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phủ</w:t>
            </w:r>
            <w:proofErr w:type="spellEnd"/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T-QBI-179682-TT</w:t>
            </w:r>
          </w:p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2592/QĐ-UBND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11/10/2011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</w:t>
            </w: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2A11A6">
            <w:pPr>
              <w:rPr>
                <w:rFonts w:ascii="Calibri" w:eastAsia="Calibri" w:hAnsi="Calibri" w:cs="Calibri"/>
              </w:rPr>
            </w:pPr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T-QBI-183857-TT</w:t>
            </w:r>
          </w:p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3,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2592/QĐ-UBND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11/10/2011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dân</w:t>
            </w:r>
            <w:proofErr w:type="spellEnd"/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2A11A6">
            <w:pPr>
              <w:rPr>
                <w:rFonts w:ascii="Calibri" w:eastAsia="Calibri" w:hAnsi="Calibri" w:cs="Calibri"/>
              </w:rPr>
            </w:pPr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T-QBI-183850-TT</w:t>
            </w:r>
          </w:p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4,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2592/QĐ-UBND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11/10/2011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  <w:tab w:val="left" w:pos="1845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cáo</w:t>
            </w:r>
            <w:proofErr w:type="spellEnd"/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2A11A6">
            <w:pPr>
              <w:rPr>
                <w:rFonts w:ascii="Calibri" w:eastAsia="Calibri" w:hAnsi="Calibri" w:cs="Calibri"/>
              </w:rPr>
            </w:pPr>
          </w:p>
        </w:tc>
      </w:tr>
      <w:tr w:rsidR="002A11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T-QBI-184033-TT</w:t>
            </w:r>
          </w:p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5,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2592/QĐ-UBND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11/10/2011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1A6" w:rsidRDefault="00C53582">
            <w:pPr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Xử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phản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cáo</w:t>
            </w:r>
            <w:proofErr w:type="spellEnd"/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1A6" w:rsidRDefault="002A11A6">
            <w:pPr>
              <w:rPr>
                <w:rFonts w:ascii="Calibri" w:eastAsia="Calibri" w:hAnsi="Calibri" w:cs="Calibri"/>
              </w:rPr>
            </w:pPr>
          </w:p>
        </w:tc>
      </w:tr>
    </w:tbl>
    <w:p w:rsidR="002A11A6" w:rsidRDefault="002A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</w:rPr>
      </w:pPr>
    </w:p>
    <w:sectPr w:rsidR="002A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11A6"/>
    <w:rsid w:val="002A11A6"/>
    <w:rsid w:val="00C5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2017-06-15T02:03:00Z</dcterms:created>
  <dcterms:modified xsi:type="dcterms:W3CDTF">2017-06-15T02:03:00Z</dcterms:modified>
</cp:coreProperties>
</file>