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35"/>
        <w:gridCol w:w="6179"/>
      </w:tblGrid>
      <w:tr>
        <w:trPr>
          <w:trHeight w:val="1" w:hRule="atLeast"/>
          <w:jc w:val="left"/>
        </w:trPr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TỈNH QUẢNG BÌNH</w:t>
            </w:r>
          </w:p>
        </w:tc>
        <w:tc>
          <w:tcPr>
            <w:tcW w:w="6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</w:tc>
      </w:tr>
      <w:tr>
        <w:trPr>
          <w:trHeight w:val="506" w:hRule="auto"/>
          <w:jc w:val="left"/>
        </w:trPr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Số:  2581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Đ-UBND</w:t>
            </w:r>
          </w:p>
        </w:tc>
        <w:tc>
          <w:tcPr>
            <w:tcW w:w="6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Quảng Bình, ngày  18 tháng  7 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thu hồi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đất của Công ty Cổ phần Xuất Nhập khẩu Quảng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ình và cho Công ty TNHH Hoàng Huy Toàn thuê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đất để khai thác đá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àm vật liệu xây dựng thông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tại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ã Quảng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Đông, huyện Quảng Trạch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UỶ BAN NHÂN DÂN TỈNH QUẢNG BÌNH</w:t>
      </w:r>
    </w:p>
    <w:p>
      <w:pPr>
        <w:spacing w:before="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Tổ chức chính quyền địa phương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19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43/2014/NĐ-CP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của Luật Đất đai;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44/2014/NĐ-CP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về giá đất;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Nghị định số 01/2017/NĐ-CP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06 tháng 01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2017 của Chính phủ sửa đổi, bổ sung một số Nghị định quy định chi tiết thi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Luật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đai;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30/2014/TT-BTNMT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giao đất, cho thuê đất, chuyển mục đích sử dụng đất, thu hồi đất;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tịch số 88/2016/TTLT/BTC-BTNMT ngày 22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chính, Bộ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tự, thủ tục tiếp nhận, luân chuyển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xác định nghĩa vụ tài chính về đất đai của người sử dụng đất;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Giấy phép khai thác khoáng sản số 917/GP-UBND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22 tháng 3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 của UBND tỉnh cấp cho Công ty TNHH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Huy Toàn;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360/TTr-STNMT ngày 11 tháng 7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2017,                                                </w:t>
      </w:r>
    </w:p>
    <w:p>
      <w:pPr>
        <w:spacing w:before="240" w:after="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60" w:line="276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 </w:t>
      </w:r>
    </w:p>
    <w:p>
      <w:pPr>
        <w:spacing w:before="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1. Thu hồi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60.624,0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(Sáu m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ươi ngh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ìn sáu tr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ăm hai mươi tư mét vuông)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đất sản xuất vật liệu xây dựng, 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àm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đồ gốm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của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Công ty Cổ phần Xuất Nhập khẩu Quảng 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ình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tại mỏ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đá Khe Chay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Đông, huyện Quảng Trạch.</w:t>
      </w:r>
    </w:p>
    <w:p>
      <w:pPr>
        <w:spacing w:before="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Lý do thu hồi: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Công ty Cổ phần Xuất Nhập khẩu Quảng Bình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không còn nhu cầu sử dụng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đất, 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chuyển nh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ượng quyền khai thác khoáng sản, bán tài sản trên đất và tự nguyện trả lại đất.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Cho Công ty TNHH Hoàng Huy Toàn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chỉ: Thôn 6,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Lộc Ninh, thành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Hới, tỉnh Quảng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ình) thuê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60.624,0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(Sáu m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ươi ngh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ìn sáu tr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8"/>
          <w:shd w:fill="auto" w:val="clear"/>
        </w:rPr>
        <w:t xml:space="preserve">ăm hai mươi tư mét vuông)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đất 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thu hồi tại Khoản 1,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Điều 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sử dụng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đất sản xuất vật liệu xây dựng,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 gốm (khai thác đá vôi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vật liệu xây dựng thông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làm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ãi chế biến).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đó: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Diện tích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khai thác đá vôi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vật liệu xây dựng thông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ường: 24.611,0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Diện tích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bãi chế biến 36.013,0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được xác định theo trích lục bản trích đo địa chính thửa đất số 1075, 1076, 1085 tờ bản đồ địa chính số 19,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Quảng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Đông do Văn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 lập ngày 17 tháng 5 năm 2017,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kèm theo Quyết định này.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Đến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01 tháng 01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2023.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</w:p>
    <w:p>
      <w:pPr>
        <w:tabs>
          <w:tab w:val="left" w:pos="6720" w:leader="none"/>
        </w:tabs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cho thuê đất trả tiền hàng năm.</w:t>
        <w:tab/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8"/>
          <w:shd w:fill="auto" w:val="clear"/>
        </w:rPr>
        <w:t xml:space="preserve">Điều 2.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Giao nhiệm vụ cho các cơ quan, tổ chức thực hiện các công việc sau đây: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nhiệm: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trì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phương pháp định giá đất cụ thể để tính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Trường hợp áp dụng phương pháp so sánh trực tiếp, thu nhập, chiết trừ, thặng dư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tổ chức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án giá đất gửi Hội đồng thẩm định giá đất tỉnh để thẩm 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 Ủy ban nhân dân tỉnh phê duyệt 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 thể; Trường hợp áp dụng phương pháp hệ số điều chỉnh giá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chuyển thông tin địa chính để Cục Thuế xác định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cho Công ty TNHH Hoàng Huy Toàn.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- Thông báo cho Công ty TNHH Hoàng Huy Toàn nộp phí và lệ phí theo quy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 của pháp luật; ký hợp đồng thu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đất; xác định cụ thể mốc giới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 bàn giao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địa; trao Giấy chứng nhận quyền sử dụng đất, quyền sở hữu nh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đất cho Công ty TNHH Ho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àng Huy Toàn sau khi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đơn vị 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định; tổ chức chỉnh lý hồ sơ địa chính.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Cục Thuế tỉnh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các khoản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và thông báo cho Công ty TNHH Hoàng Huy Toàn thực hiện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của pháp luật.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địa chính theo quy định.</w:t>
      </w:r>
    </w:p>
    <w:p>
      <w:pPr>
        <w:spacing w:before="0" w:after="60" w:line="276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òng UBND tỉnh, Giám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đốc các Sở: 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ường,  Tài chính, Xây dựng; Cục trưởng Cục thuế; Chủ tịch UBND huyện Quảng Trạch; Chủ tịch UBND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Quảng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Đông; Giám đốc Văn ph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ường; Giám đốc Công ty Cổ phần Xuất Nhập khẩu Quảng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ình;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Giám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đốc Công ty TNHH Ho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àng Huy Toàn và Thủ tr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ưởng các sở, ban, ngành có liên quan chịu trách nhiệm thi hành quyết định này.</w:t>
      </w:r>
    </w:p>
    <w:p>
      <w:pPr>
        <w:spacing w:before="0" w:after="24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UBND tỉnh./.</w:t>
      </w:r>
    </w:p>
    <w:tbl>
      <w:tblPr/>
      <w:tblGrid>
        <w:gridCol w:w="4760"/>
        <w:gridCol w:w="4754"/>
      </w:tblGrid>
      <w:tr>
        <w:trPr>
          <w:trHeight w:val="1" w:hRule="atLeast"/>
          <w:jc w:val="left"/>
        </w:trPr>
        <w:tc>
          <w:tcPr>
            <w:tcW w:w="4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CT, các PCT UBND tỉnh;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tâm THCB – VPUBND tỉnh;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 CVTNMT.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</w:t>
            </w:r>
          </w:p>
        </w:tc>
        <w:tc>
          <w:tcPr>
            <w:tcW w:w="4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Lê Minh Ngân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