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268"/>
        <w:gridCol w:w="6020"/>
      </w:tblGrid>
      <w:tr>
        <w:trPr>
          <w:trHeight w:val="1" w:hRule="atLeast"/>
          <w:jc w:val="left"/>
        </w:trPr>
        <w:tc>
          <w:tcPr>
            <w:tcW w:w="3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UỶ BAN NHÂN DÂN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TỈNH QUẢNG BÌNH</w:t>
            </w:r>
          </w:p>
        </w:tc>
        <w:tc>
          <w:tcPr>
            <w:tcW w:w="6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CỘNG HOÀ XÃ HỘI CHỦ NGHĨA VIỆT NAM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Độc lập - Tự do - Hạnh phúc</w:t>
            </w:r>
          </w:p>
        </w:tc>
      </w:tr>
      <w:tr>
        <w:trPr>
          <w:trHeight w:val="1" w:hRule="atLeast"/>
          <w:jc w:val="left"/>
        </w:trPr>
        <w:tc>
          <w:tcPr>
            <w:tcW w:w="3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Số: 2544 /Q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Đ-UBND</w:t>
            </w:r>
          </w:p>
        </w:tc>
        <w:tc>
          <w:tcPr>
            <w:tcW w:w="6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Quảng Bình, ngày   14 tháng  7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ăm 2017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QUYẾT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ĐỊNH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Về việc thu hồi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đất, chuyển mục đích sử dụng đất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 cho Ban Quản lý dự án Các công trình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điện miền Trung trực thuộc Tổng công ty Truyền tải điện Quốc gia thu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ê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đất để xây dựng công 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ình Trạm biến áp 220kV Ba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Đồn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tại ph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ường Quảng Long, thị 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ã Ba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Đồn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UỶ BAN NHÂN DÂN TỈNH QUẢNG BÌNH</w:t>
      </w:r>
    </w:p>
    <w:p>
      <w:pPr>
        <w:spacing w:before="0" w:after="6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Luật Tổ chức chính quyền địa phương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19 tháng 6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2015;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Luật Đất đai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29 tháng 11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2013;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Nghị định số 43/2014/NĐ-CP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15 tháng 5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2014 của Chính phủ Quy định chi tiết thi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một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điều của Luật Đất đai;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Nghị định số 44/2014/NĐ-CP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15 tháng 5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2014 của Chính phủ quy định về giá đất;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ăn cứ Nghị định số 01/2017/NĐ-CP ng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ày 06 tháng 01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ăm 2017 của Chính phủ sửa đổi, bổ sung một số Nghị định quy định chi tiết thi 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ành Luật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Đất đai;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Thông tư số 30/2014/TT-BTNMT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02 tháng 6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2014 của Bộ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quy định về hồ sơ giao đất, cho thuê đất, chuyển mục đích sử dụng đất, thu hồi đất;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Thông tư 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tịch số 88/2016/TTLT/BTC-BTNMT ngày 22 tháng 6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2016 của Bộ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chính, Bộ Tài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quy định về hồ sơ và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tự, thủ tục tiếp nhận, luân chuyển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xác định nghĩa vụ tài chính về đất đai của người sử dụng đất;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Quyết định số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4264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/QĐ-UBND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31/12/2016 của UBND tỉnh về việc phê duyệt kế hoạch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năm 2017 thị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Ba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Xét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đề nghị của Sở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tại Tờ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số 345/TTr-STNMT ngày 06 tháng 7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2017,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QUYẾT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ĐỊNH:</w:t>
      </w:r>
    </w:p>
    <w:p>
      <w:pPr>
        <w:spacing w:before="0" w:after="8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1.</w:t>
      </w:r>
    </w:p>
    <w:p>
      <w:pPr>
        <w:spacing w:before="0" w:after="8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Thu hồi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19.473,5 m²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ười chín ngh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ìn bốn tr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ăm bảy mươi ba phẩy năm mét vuông)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đất gồm 1.101,6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đất giao thông; 18.020,4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đất bằng chưa sử dụng; 26,6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đất có mặt nước chuy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dùng và 325,9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nghĩa trang, nghĩa địa,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tang lễ, nhà hỏa táng do UBND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Quảng Long quản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tại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Quảng Long, thị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Ba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Đồn.</w:t>
      </w:r>
    </w:p>
    <w:p>
      <w:pPr>
        <w:spacing w:before="0" w:after="8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Vị trí, ranh giới khu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thu hồi được xác định theo bản chỉnh lý địa chính thửa đất số 46(1), 15(1), 76(1), 5(1) tờ bản đồ số 02 phường Quảng Long do Văn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Đăng ký quyền sử dụng đất huyện Quảng Trạch lập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04/12/2014, Sở Tài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duyệt ngày 08/12/2014, kèm theo Quyết định này.</w:t>
      </w:r>
    </w:p>
    <w:p>
      <w:pPr>
        <w:spacing w:before="0" w:after="8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Chuyển mục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đích sử dụng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10.294,5 m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8"/>
          <w:shd w:fill="auto" w:val="clear"/>
        </w:rPr>
        <w:t xml:space="preserve">(Mười ngh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8"/>
          <w:shd w:fill="auto" w:val="clear"/>
        </w:rPr>
        <w:t xml:space="preserve">ìn ba tr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8"/>
          <w:shd w:fill="auto" w:val="clear"/>
        </w:rPr>
        <w:t xml:space="preserve">ăm bảy mươi bốn phẩy năm mét vuông)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đất nông nghiệp (gồm: 3.470,0 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đất bằng trồng cây 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àng 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ăm khác v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à 6.824,5 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đất trồng cây lâu năm khác đ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được UBND tỉnh thu hồi tại Quyết định số 1048/QĐ-UBND 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ày 21/4/2015 và UBND thị xã Ba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Đồn thu hồi bổ sung tại Quyết định số 3042/QĐ-UBND 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ày 04/10/2016) sang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đất phi nông nghiệp theo quy hoạch, kế hoạch sử dụng đất đ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được ph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ê duyệt.</w:t>
      </w:r>
    </w:p>
    <w:p>
      <w:pPr>
        <w:spacing w:before="0" w:after="8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Cho Ban Quản lý dự án Các công trình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điện miền Trung trực thuộc Tổng công ty Truyền tải điện Quốc gia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(Địa chỉ: 478 đường 2/9 phường 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òa 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ường Nam, quận Hải Châu, thành phố Đà Nẵng)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thuê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29.848,0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(Hai mươi chín ngh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ìn tám tr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ăm bốn mươi tám mét vuông)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đất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(gồm: 19.473,5 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đất đ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ã thu hồi tại khoản 1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Điều 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ày; 10.294,5 m²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đất đ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ã chuyển mục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đích tại khoản 2 Điều 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ày và 80,0 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đất ở đô thị đ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được UBND tỉnh thu hồi tại Quyết định số 1048/QĐ-UBND ng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ày 21/4/2015)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để sử dụng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mục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đích đất công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ăng lượng (Xây dựng Trạm biến áp 220kV Ba Đồn).</w:t>
      </w:r>
    </w:p>
    <w:p>
      <w:pPr>
        <w:spacing w:before="0" w:after="8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Vị trí, ranh giới khu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được xác định theo bản chỉnh lý địa chính thửa đất số 77 tờ bản đồ số 02 phường Quảng Long do Văn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Đăng ký quyền sử dụng đất huyện Quảng Trạch lập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04/12/2014, Sở Tài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duyệt ngày 08/12/2014, kèm theo Quyết định này.</w:t>
      </w:r>
    </w:p>
    <w:p>
      <w:pPr>
        <w:spacing w:before="0" w:after="8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Thời hạn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đất: Đến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07 tháng 4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2067.</w:t>
      </w:r>
    </w:p>
    <w:p>
      <w:pPr>
        <w:spacing w:before="0" w:after="8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Hình thức thuê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đất: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 cho thuê đất trả tiền hàng năm.</w:t>
      </w:r>
    </w:p>
    <w:p>
      <w:pPr>
        <w:spacing w:before="0" w:after="8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Giao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2.841,8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(Hai nghìn tám tr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ăm bốn mươi mốt phẩy tám mét vuông)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đất (bao gồm 20,0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đất ở đô thị; 2.350,6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đất bằng trồng cây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khác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471,2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trồng cây lâu năm khác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được UBND tỉnh thu hồi tại Quyết định số 1048/QĐ-UBND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21/4/2015 và UBND thị xã Ba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 thu hồi bổ sung tại Quyết định số 3042/QĐ-UBND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04/10/2016 nằm ngoài diện tích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xin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ê) cho UBND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Quảng Long quản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theo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đúng quy định của pháp luật.</w:t>
      </w:r>
    </w:p>
    <w:p>
      <w:pPr>
        <w:spacing w:before="0" w:after="8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Vị trí, ranh giới khu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giao được xác định theo bản chỉnh lý địa chính thửa đất số 40(2), 68(2), 70(3), 70(4) tờ bản đồ số 02 phường Quảng Long do Văn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Đăng ký quyền sử dụng đất huyện Quảng Trạch lập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04/12/2014, Sở Tài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duyệt ngày 08/12/2014, kèm theo Quyết định này.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8"/>
          <w:shd w:fill="auto" w:val="clear"/>
        </w:rPr>
        <w:t xml:space="preserve">Điều 2.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 Giao nhiệm vụ cho các cơ quan, tổ chức thực hiện các công việc sau đây: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Sở Tài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có trách nhiệm: </w:t>
      </w:r>
    </w:p>
    <w:p>
      <w:pPr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Chủ trì xác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phương pháp định giá đất cụ thể để tính tiền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đất; Trường hợp áp dụng phương pháp so sánh trực tiếp, thu nhập, chiết trừ, thặng dư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tổ chức lập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án giá đất gửi Hội đồng thẩm định giá đất tỉnh để thẩm định,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 Ủy ban nhân dân tỉnh phê duyệt giá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cụ thể; Trường hợp áp dụng phương pháp hệ số điều chỉnh giá đất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chỉ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 Văn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Đăng ký quyền sử dụng đất chuyển thông tin địa chính để Cục Thuế xác định nghĩa vụ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chính cho Ban Quản lý dự án Các công trình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điện miền Trung trực thuộc Tổng công ty Truyền tải điện Quốc gia. </w:t>
      </w:r>
    </w:p>
    <w:p>
      <w:pPr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Thông báo cho Ban Quản lý dự án Các công trình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điện miền Trung trực thuộc Tổng công ty Truyền tải điện Quốc gia nộp phí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lệ phí theo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của pháp luật; ký hợp đồng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đất; xác định cụ thể mốc giới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bàn giao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thực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địa; trao Giấy chứng nhận quyền sử dụng đất, quyền sở hữu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ở và tài sản khác gắn liền với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sau khi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hoàn thành nghĩa vụ tài chính theo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định; tổ chức chỉnh lý hồ sơ địa chính.</w:t>
      </w:r>
    </w:p>
    <w:p>
      <w:pPr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2. Cục Thuế tỉnh xác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định các khoản nghĩa vụ 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ài chính và thông báo cho Ban Quản lý dự án Các công trình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điện miền Trung trực thuộc Tổng công ty Truyền tải điện Quốc gia thực hiện theo quy định của pháp luật.</w:t>
      </w:r>
    </w:p>
    <w:p>
      <w:pPr>
        <w:spacing w:before="0" w:after="9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3. V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ăn ph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Đăng ký quyền sử dụng đất thuộc Sở 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ường có trách nhiệm chỉnh l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ý hồ 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ơ địa chính theo quy định.</w:t>
      </w:r>
    </w:p>
    <w:p>
      <w:pPr>
        <w:spacing w:before="0" w:after="9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Quyết định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có hiệu lực kể từ ngày ký.</w:t>
      </w:r>
    </w:p>
    <w:p>
      <w:pPr>
        <w:spacing w:before="0" w:after="9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Chánh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Ủy ban nhân dân tỉnh, Giám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đốc các Sở: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ường, Tài chính, Xây dựng; Cục trưởng Cục thuế, Chủ tịch UBND thị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Ba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Đồn, Chủ tịch UBND phường Quảng Long, Giám đốc Văn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Đăng ký quyền sử dụng đất thuộc Sở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ường, Trưởng ban Ban Quản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dự án Các công trình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điện miền Trung trực thuộc Tổng công ty Truyền tải điện Quốc gia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Thủ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ưởng các sở, ban, ngành có liên quan chịu trách nhiệm thi hành quyết định này.</w:t>
      </w:r>
    </w:p>
    <w:p>
      <w:pPr>
        <w:spacing w:before="0" w:after="24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Ủy ban nhân dân tỉnh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đưa Quyết định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lên Cổng thông tin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điện tử của tỉnh./.</w:t>
      </w:r>
    </w:p>
    <w:tbl>
      <w:tblPr/>
      <w:tblGrid>
        <w:gridCol w:w="4657"/>
        <w:gridCol w:w="4631"/>
      </w:tblGrid>
      <w:tr>
        <w:trPr>
          <w:trHeight w:val="1" w:hRule="atLeast"/>
          <w:jc w:val="left"/>
        </w:trPr>
        <w:tc>
          <w:tcPr>
            <w:tcW w:w="46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ơi nhận: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 Điều 3;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CT, các PCT UBND tỉnh;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Trung tâm THCB – VPUBND tỉnh;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ưu VT, CVTNMT.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</w:t>
            </w:r>
          </w:p>
        </w:tc>
        <w:tc>
          <w:tcPr>
            <w:tcW w:w="4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TM. UỶ BAN NHÂN DÂN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KT. CHỦ TỊCH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PHÓ CHỦ TỊCH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Đã ký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Lê Minh Ngân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.VnTime" w:hAnsi=".VnTime" w:cs=".VnTime" w:eastAsia=".VnTime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