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37"/>
        <w:gridCol w:w="5949"/>
      </w:tblGrid>
      <w:tr w:rsidR="00A12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4" w:rsidRDefault="00D3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ỦY BAN NHÂN DÂN</w:t>
            </w:r>
          </w:p>
          <w:p w:rsidR="00A12B54" w:rsidRDefault="00D332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5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4" w:rsidRDefault="00D3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HÒA XÃ HỘI CHỦ NGHĨA VIỆT NAM</w:t>
            </w:r>
          </w:p>
          <w:p w:rsidR="00A12B54" w:rsidRDefault="00D332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</w:tc>
      </w:tr>
      <w:tr w:rsidR="00A12B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B54" w:rsidRDefault="00A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12B54" w:rsidRDefault="00D332DF" w:rsidP="00D332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: 2637</w:t>
            </w:r>
            <w:r>
              <w:rPr>
                <w:rFonts w:ascii="Times New Roman" w:eastAsia="Times New Roman" w:hAnsi="Times New Roman" w:cs="Times New Roman"/>
                <w:sz w:val="27"/>
              </w:rPr>
              <w:t>/QĐ-UBND</w:t>
            </w:r>
          </w:p>
        </w:tc>
        <w:tc>
          <w:tcPr>
            <w:tcW w:w="59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2B54" w:rsidRDefault="00A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A12B54" w:rsidRDefault="00D332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26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2017</w:t>
            </w:r>
          </w:p>
        </w:tc>
      </w:tr>
    </w:tbl>
    <w:p w:rsidR="00A12B54" w:rsidRDefault="00A1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2B54" w:rsidRDefault="00D332DF">
      <w:pPr>
        <w:tabs>
          <w:tab w:val="left" w:pos="5055"/>
        </w:tabs>
        <w:spacing w:before="120" w:after="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QUYẾT ĐỊNH</w:t>
      </w:r>
    </w:p>
    <w:p w:rsidR="00A12B54" w:rsidRDefault="00D332DF">
      <w:pPr>
        <w:spacing w:after="360" w:line="240" w:lineRule="auto"/>
        <w:jc w:val="center"/>
        <w:rPr>
          <w:rFonts w:ascii="Arial" w:eastAsia="Arial" w:hAnsi="Arial" w:cs="Arial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782/QĐ-UBND </w:t>
      </w:r>
      <w:r>
        <w:rPr>
          <w:rFonts w:ascii="Times New Roman" w:eastAsia="Times New Roman" w:hAnsi="Times New Roman" w:cs="Times New Roman"/>
          <w:b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13/3/2017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tỉnh</w:t>
      </w:r>
      <w:proofErr w:type="spellEnd"/>
    </w:p>
    <w:p w:rsidR="00A12B54" w:rsidRDefault="00D332DF">
      <w:pPr>
        <w:spacing w:before="12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ỦY BAN NHÂN DÂN TỈNH QUẢNG BÌNH</w:t>
      </w:r>
    </w:p>
    <w:p w:rsidR="00A12B54" w:rsidRDefault="00D332D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 </w:t>
      </w:r>
    </w:p>
    <w:p w:rsidR="00A12B54" w:rsidRDefault="00D332DF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A12B54" w:rsidRDefault="00D332DF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12B54" w:rsidRDefault="00D332DF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01/2017/NĐ-CP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</w:t>
      </w:r>
      <w:r>
        <w:rPr>
          <w:rFonts w:ascii="Times New Roman" w:eastAsia="Times New Roman" w:hAnsi="Times New Roman" w:cs="Times New Roman"/>
          <w:spacing w:val="-4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A12B54" w:rsidRDefault="00D332DF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A12B54" w:rsidRDefault="00D332D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.VnTime" w:eastAsia=".VnTime" w:hAnsi=".VnTime" w:cs=".VnTime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370/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</w:t>
      </w:r>
    </w:p>
    <w:p w:rsidR="00A12B54" w:rsidRDefault="00D332DF">
      <w:pPr>
        <w:spacing w:before="120" w:after="240" w:line="240" w:lineRule="auto"/>
        <w:jc w:val="center"/>
        <w:rPr>
          <w:rFonts w:ascii=".VnTimeH" w:eastAsia=".VnTimeH" w:hAnsi=".VnTimeH" w:cs=".VnTimeH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QUYẾT ĐỊNH</w:t>
      </w:r>
      <w:r>
        <w:rPr>
          <w:rFonts w:ascii=".VnTimeH" w:eastAsia=".VnTimeH" w:hAnsi=".VnTimeH" w:cs=".VnTimeH"/>
          <w:b/>
          <w:sz w:val="28"/>
        </w:rPr>
        <w:t>:</w:t>
      </w:r>
    </w:p>
    <w:p w:rsidR="00A12B54" w:rsidRDefault="00D332DF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Q</w:t>
      </w:r>
      <w:r>
        <w:rPr>
          <w:rFonts w:ascii="Times New Roman" w:eastAsia="Times New Roman" w:hAnsi="Times New Roman" w:cs="Times New Roman"/>
          <w:sz w:val="28"/>
        </w:rPr>
        <w:t>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782/QĐ-UBND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13/3/2017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A12B54" w:rsidRDefault="00D332DF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1.547,4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mươi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bảy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). </w:t>
      </w:r>
    </w:p>
    <w:p w:rsidR="00A12B54" w:rsidRDefault="00D332DF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</w:rPr>
        <w:t>1.411,7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bốn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mười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phẩy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bảy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8"/>
        </w:rPr>
        <w:t>)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A12B54" w:rsidRDefault="00D332DF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37,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11/6/2017,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20/6/2017,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12B54" w:rsidRDefault="00D332DF">
      <w:pPr>
        <w:spacing w:before="10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lastRenderedPageBreak/>
        <w:t>Lý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</w:t>
      </w:r>
      <w:r>
        <w:rPr>
          <w:rFonts w:ascii="Times New Roman" w:eastAsia="Times New Roman" w:hAnsi="Times New Roman" w:cs="Times New Roman"/>
          <w:spacing w:val="-4"/>
          <w:sz w:val="28"/>
        </w:rPr>
        <w:t>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phóng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).</w:t>
      </w:r>
    </w:p>
    <w:p w:rsidR="00A12B54" w:rsidRDefault="00D332D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Ngoài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782/QĐ-UBND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13/3/2017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</w:t>
      </w:r>
      <w:r>
        <w:rPr>
          <w:rFonts w:ascii="Times New Roman" w:eastAsia="Times New Roman" w:hAnsi="Times New Roman" w:cs="Times New Roman"/>
          <w:spacing w:val="-4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vẫn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giữ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  <w:proofErr w:type="gramEnd"/>
    </w:p>
    <w:p w:rsidR="00A12B54" w:rsidRDefault="00D332D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  <w:proofErr w:type="gramEnd"/>
    </w:p>
    <w:p w:rsidR="00A12B54" w:rsidRDefault="00D332D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Đồn</w:t>
      </w:r>
      <w:r>
        <w:rPr>
          <w:rFonts w:ascii="Times New Roman" w:eastAsia="Times New Roman" w:hAnsi="Times New Roman" w:cs="Times New Roman"/>
          <w:spacing w:val="-4"/>
          <w:sz w:val="28"/>
        </w:rPr>
        <w:t>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vấn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Vĩnh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Hưng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.</w:t>
      </w:r>
    </w:p>
    <w:p w:rsidR="00A12B54" w:rsidRDefault="00D332D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</w:t>
      </w:r>
      <w:r>
        <w:rPr>
          <w:rFonts w:ascii="Times New Roman" w:eastAsia="Times New Roman" w:hAnsi="Times New Roman" w:cs="Times New Roman"/>
          <w:sz w:val="28"/>
        </w:rPr>
        <w:t>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A12B54" w:rsidRDefault="00A12B5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59"/>
        <w:gridCol w:w="4627"/>
      </w:tblGrid>
      <w:tr w:rsidR="00A12B54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4" w:rsidRDefault="00D3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12B54" w:rsidRDefault="00D3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A12B54" w:rsidRDefault="00D3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12B54" w:rsidRDefault="00D3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THCB - VPUBND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A12B54" w:rsidRDefault="00D33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VT, CVTNMT.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</w:t>
            </w:r>
          </w:p>
          <w:p w:rsidR="00A12B54" w:rsidRDefault="00D332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6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2B54" w:rsidRDefault="00D3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TM. UỶ BAN NHÂN DÂN</w:t>
            </w:r>
          </w:p>
          <w:p w:rsidR="00A12B54" w:rsidRDefault="00D3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KT. CHỦ TỊCH</w:t>
            </w:r>
          </w:p>
          <w:p w:rsidR="00A12B54" w:rsidRDefault="00D3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PHÓ CHỦ TỊCH</w:t>
            </w:r>
          </w:p>
          <w:p w:rsidR="00A12B54" w:rsidRDefault="00A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12B54" w:rsidRDefault="00A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12B54" w:rsidRDefault="00A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12B54" w:rsidRDefault="00A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2B54" w:rsidRDefault="00D3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ký</w:t>
            </w:r>
            <w:proofErr w:type="spellEnd"/>
          </w:p>
          <w:p w:rsidR="00A12B54" w:rsidRDefault="00A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12B54" w:rsidRDefault="00D332D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Ngân</w:t>
            </w:r>
            <w:proofErr w:type="spellEnd"/>
          </w:p>
        </w:tc>
      </w:tr>
    </w:tbl>
    <w:p w:rsidR="00A12B54" w:rsidRDefault="00A12B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sectPr w:rsidR="00A1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2B54"/>
    <w:rsid w:val="00A12B54"/>
    <w:rsid w:val="00D3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2017-07-27T08:53:00Z</dcterms:created>
  <dcterms:modified xsi:type="dcterms:W3CDTF">2017-07-27T08:53:00Z</dcterms:modified>
</cp:coreProperties>
</file>