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812"/>
      </w:tblGrid>
      <w:tr w:rsidR="00F16A10" w:rsidRPr="002745A6" w:rsidTr="000347A4">
        <w:tc>
          <w:tcPr>
            <w:tcW w:w="3510" w:type="dxa"/>
          </w:tcPr>
          <w:p w:rsidR="00F16A10" w:rsidRPr="00D8736C" w:rsidRDefault="00F16A10" w:rsidP="000347A4">
            <w:pPr>
              <w:rPr>
                <w:b/>
                <w:sz w:val="26"/>
              </w:rPr>
            </w:pPr>
            <w:r w:rsidRPr="00D8736C">
              <w:rPr>
                <w:b/>
                <w:sz w:val="26"/>
              </w:rPr>
              <w:t>ỦY BAN NHÂN DÂN</w:t>
            </w:r>
          </w:p>
          <w:p w:rsidR="00F16A10" w:rsidRPr="00D8736C" w:rsidRDefault="002B45F9" w:rsidP="000347A4">
            <w:pPr>
              <w:rPr>
                <w:b/>
                <w:sz w:val="26"/>
              </w:rPr>
            </w:pPr>
            <w:r>
              <w:rPr>
                <w:b/>
                <w:noProof/>
                <w:sz w:val="26"/>
              </w:rPr>
              <w:pict>
                <v:line id="Line 2" o:spid="_x0000_s1026" style="position:absolute;left:0;text-align:left;z-index:251656192;visibility:visible" from="27.45pt,17pt" to="13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7/V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6z8VM6HoN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"/>
              </w:pict>
            </w:r>
            <w:r w:rsidR="00F16A10" w:rsidRPr="00D8736C">
              <w:rPr>
                <w:b/>
                <w:sz w:val="26"/>
              </w:rPr>
              <w:t>TỈNH QUẢNG BÌNH</w:t>
            </w:r>
          </w:p>
          <w:p w:rsidR="00F16A10" w:rsidRPr="00A76AC0" w:rsidRDefault="00F16A10" w:rsidP="000347A4">
            <w:pPr>
              <w:rPr>
                <w:sz w:val="12"/>
              </w:rPr>
            </w:pPr>
          </w:p>
          <w:p w:rsidR="00F16A10" w:rsidRPr="00D8736C" w:rsidRDefault="00F16A10" w:rsidP="00A853E3">
            <w:pPr>
              <w:rPr>
                <w:sz w:val="26"/>
              </w:rPr>
            </w:pPr>
            <w:r w:rsidRPr="00D8736C">
              <w:rPr>
                <w:sz w:val="26"/>
              </w:rPr>
              <w:t xml:space="preserve">Số:  </w:t>
            </w:r>
            <w:r w:rsidR="00925F80">
              <w:rPr>
                <w:sz w:val="26"/>
              </w:rPr>
              <w:t>18</w:t>
            </w:r>
            <w:r w:rsidR="0091477E">
              <w:rPr>
                <w:sz w:val="26"/>
              </w:rPr>
              <w:t>/2018</w:t>
            </w:r>
            <w:r w:rsidRPr="00D8736C">
              <w:rPr>
                <w:sz w:val="26"/>
              </w:rPr>
              <w:t>/QĐ-UBND</w:t>
            </w:r>
          </w:p>
        </w:tc>
        <w:tc>
          <w:tcPr>
            <w:tcW w:w="5812" w:type="dxa"/>
          </w:tcPr>
          <w:p w:rsidR="00F16A10" w:rsidRPr="00D8736C" w:rsidRDefault="00F16A10" w:rsidP="000347A4">
            <w:pPr>
              <w:rPr>
                <w:b/>
                <w:sz w:val="26"/>
              </w:rPr>
            </w:pPr>
            <w:r w:rsidRPr="00D8736C">
              <w:rPr>
                <w:b/>
                <w:sz w:val="26"/>
              </w:rPr>
              <w:t>CỘNG HÒA XÃ HỘI CHỦ NGHĨA VIỆT NAM</w:t>
            </w:r>
          </w:p>
          <w:p w:rsidR="00F16A10" w:rsidRPr="00B51C04" w:rsidRDefault="002B45F9" w:rsidP="000347A4">
            <w:pPr>
              <w:rPr>
                <w:b/>
              </w:rPr>
            </w:pPr>
            <w:r>
              <w:rPr>
                <w:b/>
                <w:noProof/>
              </w:rPr>
              <w:pict>
                <v:line id="Line 3" o:spid="_x0000_s1027" style="position:absolute;left:0;text-align:left;z-index:251658240;visibility:visible" from="72.6pt,17.1pt" to="222.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"/>
              </w:pict>
            </w:r>
            <w:r w:rsidR="00F16A10" w:rsidRPr="00B51C04">
              <w:rPr>
                <w:b/>
              </w:rPr>
              <w:t>Độc lập - Tự do - Hạnh phúc</w:t>
            </w:r>
          </w:p>
          <w:p w:rsidR="00F16A10" w:rsidRPr="00A76AC0" w:rsidRDefault="00F16A10" w:rsidP="000347A4">
            <w:pPr>
              <w:rPr>
                <w:i/>
                <w:sz w:val="10"/>
              </w:rPr>
            </w:pPr>
          </w:p>
          <w:p w:rsidR="00F16A10" w:rsidRPr="00A76AC0" w:rsidRDefault="00F16A10" w:rsidP="00925F80">
            <w:pPr>
              <w:jc w:val="right"/>
              <w:rPr>
                <w:i/>
                <w:sz w:val="26"/>
              </w:rPr>
            </w:pPr>
            <w:r w:rsidRPr="00D8736C">
              <w:rPr>
                <w:i/>
                <w:sz w:val="26"/>
              </w:rPr>
              <w:t xml:space="preserve">Quảng Bình, ngày </w:t>
            </w:r>
            <w:r w:rsidR="00925F80">
              <w:rPr>
                <w:i/>
                <w:sz w:val="26"/>
              </w:rPr>
              <w:t>20</w:t>
            </w:r>
            <w:r w:rsidRPr="00D8736C">
              <w:rPr>
                <w:i/>
                <w:sz w:val="26"/>
              </w:rPr>
              <w:t xml:space="preserve"> tháng </w:t>
            </w:r>
            <w:r w:rsidR="00925F80">
              <w:rPr>
                <w:i/>
                <w:sz w:val="26"/>
              </w:rPr>
              <w:t>7</w:t>
            </w:r>
            <w:r w:rsidRPr="00D8736C">
              <w:rPr>
                <w:i/>
                <w:sz w:val="26"/>
              </w:rPr>
              <w:t>năm 2018</w:t>
            </w:r>
          </w:p>
        </w:tc>
      </w:tr>
    </w:tbl>
    <w:p w:rsidR="00A76AC0" w:rsidRPr="00A76AC0" w:rsidRDefault="00A76AC0" w:rsidP="00F16A10">
      <w:pPr>
        <w:rPr>
          <w:b/>
          <w:sz w:val="22"/>
        </w:rPr>
      </w:pPr>
    </w:p>
    <w:p w:rsidR="00F16A10" w:rsidRDefault="00F16A10" w:rsidP="00F16A10">
      <w:pPr>
        <w:rPr>
          <w:b/>
        </w:rPr>
      </w:pPr>
      <w:r w:rsidRPr="002745A6">
        <w:rPr>
          <w:b/>
        </w:rPr>
        <w:t>QUYẾT ĐỊNH</w:t>
      </w:r>
    </w:p>
    <w:p w:rsidR="00A76AC0" w:rsidRPr="00A76AC0" w:rsidRDefault="00A76AC0" w:rsidP="00F16A10">
      <w:pPr>
        <w:rPr>
          <w:b/>
          <w:sz w:val="2"/>
        </w:rPr>
      </w:pPr>
    </w:p>
    <w:p w:rsidR="00A76AC0" w:rsidRPr="00A76AC0" w:rsidRDefault="002B45F9" w:rsidP="00A76AC0">
      <w:pPr>
        <w:rPr>
          <w:b/>
        </w:rPr>
      </w:pPr>
      <w:r>
        <w:rPr>
          <w:b/>
        </w:rPr>
        <w:pict>
          <v:line id="Line 4" o:spid="_x0000_s1028" style="position:absolute;left:0;text-align:left;z-index:251659264;visibility:visible" from="149.1pt,53.95pt" to="311.9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hJEQ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"/>
        </w:pict>
      </w:r>
      <w:r w:rsidR="007F74D9">
        <w:rPr>
          <w:b/>
        </w:rPr>
        <w:t xml:space="preserve">V/v </w:t>
      </w:r>
      <w:r w:rsidR="002567AA" w:rsidRPr="002567AA">
        <w:rPr>
          <w:b/>
        </w:rPr>
        <w:t>Q</w:t>
      </w:r>
      <w:r w:rsidR="00F16A10" w:rsidRPr="002567AA">
        <w:rPr>
          <w:b/>
        </w:rPr>
        <w:t xml:space="preserve">uy định </w:t>
      </w:r>
      <w:r w:rsidR="002567AA" w:rsidRPr="002567AA">
        <w:rPr>
          <w:b/>
        </w:rPr>
        <w:t xml:space="preserve">tỷ lệ được hưởng của các đơn vị </w:t>
      </w:r>
      <w:r w:rsidR="002567AA">
        <w:rPr>
          <w:b/>
        </w:rPr>
        <w:t xml:space="preserve">liên quan </w:t>
      </w:r>
      <w:r w:rsidR="0091477E">
        <w:rPr>
          <w:b/>
        </w:rPr>
        <w:t>trong nguồn kinh phí được trích từ số tiền lãi thu được từ hoạt động cho vay bằng nguồn vốn NHCSXH nhận ủy thác từ ngân sách địa phương</w:t>
      </w:r>
    </w:p>
    <w:p w:rsidR="00A76AC0" w:rsidRPr="00774EC7" w:rsidRDefault="00A76AC0" w:rsidP="00A76AC0">
      <w:pPr>
        <w:tabs>
          <w:tab w:val="left" w:pos="540"/>
        </w:tabs>
        <w:spacing w:before="120" w:after="120" w:line="240" w:lineRule="auto"/>
        <w:rPr>
          <w:b/>
          <w:sz w:val="10"/>
        </w:rPr>
      </w:pPr>
    </w:p>
    <w:p w:rsidR="00F16A10" w:rsidRPr="002745A6" w:rsidRDefault="00F16A10" w:rsidP="00F16A10">
      <w:pPr>
        <w:tabs>
          <w:tab w:val="left" w:pos="540"/>
        </w:tabs>
        <w:spacing w:before="120" w:after="240" w:line="320" w:lineRule="exact"/>
        <w:rPr>
          <w:b/>
        </w:rPr>
      </w:pPr>
      <w:r w:rsidRPr="002745A6">
        <w:rPr>
          <w:b/>
        </w:rPr>
        <w:t>ỦY BAN NHÂN DÂN TỈNH QUẢNG BÌNH</w:t>
      </w:r>
    </w:p>
    <w:p w:rsidR="00F16A10" w:rsidRPr="0091477E" w:rsidRDefault="00F16A10" w:rsidP="00A76AC0">
      <w:pPr>
        <w:tabs>
          <w:tab w:val="left" w:pos="540"/>
        </w:tabs>
        <w:spacing w:line="288" w:lineRule="auto"/>
        <w:ind w:firstLine="709"/>
        <w:jc w:val="both"/>
        <w:rPr>
          <w:i/>
        </w:rPr>
      </w:pPr>
      <w:r w:rsidRPr="0091477E">
        <w:rPr>
          <w:i/>
        </w:rPr>
        <w:tab/>
      </w:r>
      <w:r w:rsidRPr="0091477E">
        <w:rPr>
          <w:rFonts w:eastAsia="Calibri"/>
          <w:i/>
        </w:rPr>
        <w:t>Căn cứ Luật Tổ chức chính quyền đị</w:t>
      </w:r>
      <w:r w:rsidRPr="0091477E">
        <w:rPr>
          <w:i/>
        </w:rPr>
        <w:t>a phương ngày 19/6/2015;</w:t>
      </w:r>
    </w:p>
    <w:p w:rsidR="00F16A10" w:rsidRPr="0091477E" w:rsidRDefault="00F16A10" w:rsidP="00A76AC0">
      <w:pPr>
        <w:tabs>
          <w:tab w:val="left" w:pos="540"/>
        </w:tabs>
        <w:spacing w:line="288" w:lineRule="auto"/>
        <w:ind w:firstLine="709"/>
        <w:jc w:val="both"/>
        <w:rPr>
          <w:rFonts w:eastAsia="Calibri"/>
          <w:i/>
        </w:rPr>
      </w:pPr>
      <w:r w:rsidRPr="0091477E">
        <w:rPr>
          <w:i/>
        </w:rPr>
        <w:tab/>
        <w:t xml:space="preserve">Căn cứ </w:t>
      </w:r>
      <w:r w:rsidRPr="0091477E">
        <w:rPr>
          <w:rFonts w:eastAsia="Calibri"/>
          <w:i/>
        </w:rPr>
        <w:t xml:space="preserve">Luật Ngân sách nhà nước </w:t>
      </w:r>
      <w:r w:rsidRPr="0091477E">
        <w:rPr>
          <w:i/>
        </w:rPr>
        <w:t>ngày 25/6/2015</w:t>
      </w:r>
      <w:r w:rsidRPr="0091477E">
        <w:rPr>
          <w:rFonts w:eastAsia="Calibri"/>
          <w:i/>
        </w:rPr>
        <w:t>;</w:t>
      </w:r>
    </w:p>
    <w:p w:rsidR="00F16A10" w:rsidRPr="0091477E" w:rsidRDefault="00F16A10" w:rsidP="00A76AC0">
      <w:pPr>
        <w:tabs>
          <w:tab w:val="left" w:pos="540"/>
        </w:tabs>
        <w:spacing w:line="288" w:lineRule="auto"/>
        <w:ind w:firstLine="709"/>
        <w:jc w:val="both"/>
        <w:rPr>
          <w:rFonts w:eastAsia="Calibri"/>
          <w:i/>
        </w:rPr>
      </w:pPr>
      <w:r w:rsidRPr="0091477E">
        <w:rPr>
          <w:i/>
        </w:rPr>
        <w:tab/>
      </w:r>
      <w:r w:rsidRPr="0091477E">
        <w:rPr>
          <w:rFonts w:eastAsia="Calibri"/>
          <w:i/>
        </w:rPr>
        <w:t>Căn cứ Thông tư số 11/2017/TT-BTC ngày 8/02/2017 của Bộ Tài chính quy định về quản lý và sử dụng nguồn vốn ngân sách địa phương ủy thác qua Ngân hàng Chính sách xã hội để cho vay đối với người nghèo và các đối tượng chính sách khác;</w:t>
      </w:r>
    </w:p>
    <w:p w:rsidR="00F16A10" w:rsidRDefault="00F16A10" w:rsidP="00A76AC0">
      <w:pPr>
        <w:tabs>
          <w:tab w:val="left" w:pos="540"/>
        </w:tabs>
        <w:spacing w:line="288" w:lineRule="auto"/>
        <w:ind w:firstLine="709"/>
        <w:jc w:val="both"/>
        <w:rPr>
          <w:i/>
        </w:rPr>
      </w:pPr>
      <w:r w:rsidRPr="0091477E">
        <w:rPr>
          <w:i/>
        </w:rPr>
        <w:tab/>
        <w:t xml:space="preserve">Theo đề nghị của Ngân hàng Chính sách xã hội </w:t>
      </w:r>
      <w:r w:rsidR="00A76AC0">
        <w:rPr>
          <w:i/>
        </w:rPr>
        <w:t xml:space="preserve">chi nhánh </w:t>
      </w:r>
      <w:r w:rsidRPr="0091477E">
        <w:rPr>
          <w:i/>
        </w:rPr>
        <w:t>tỉnh</w:t>
      </w:r>
      <w:r w:rsidR="00A76AC0">
        <w:rPr>
          <w:i/>
        </w:rPr>
        <w:t xml:space="preserve"> Quảng Bình</w:t>
      </w:r>
      <w:r w:rsidRPr="0091477E">
        <w:rPr>
          <w:i/>
        </w:rPr>
        <w:t xml:space="preserve"> tại </w:t>
      </w:r>
      <w:r w:rsidR="00A76AC0">
        <w:rPr>
          <w:i/>
        </w:rPr>
        <w:t>C</w:t>
      </w:r>
      <w:r w:rsidRPr="0091477E">
        <w:rPr>
          <w:i/>
        </w:rPr>
        <w:t>ông văn số</w:t>
      </w:r>
      <w:r w:rsidR="00A76AC0">
        <w:rPr>
          <w:i/>
        </w:rPr>
        <w:t xml:space="preserve"> 216/TTr-NHCS ngày 05</w:t>
      </w:r>
      <w:r w:rsidRPr="0091477E">
        <w:rPr>
          <w:i/>
        </w:rPr>
        <w:t>/4/2018 và Sở Tài chính tỉnh tại công văn số</w:t>
      </w:r>
      <w:r w:rsidR="00A76AC0">
        <w:rPr>
          <w:i/>
        </w:rPr>
        <w:t xml:space="preserve"> 2038/STC-NS ngày 25/6/2018,</w:t>
      </w:r>
    </w:p>
    <w:p w:rsidR="00A76AC0" w:rsidRPr="00A76AC0" w:rsidRDefault="00A76AC0" w:rsidP="00A76AC0">
      <w:pPr>
        <w:tabs>
          <w:tab w:val="left" w:pos="540"/>
        </w:tabs>
        <w:spacing w:line="288" w:lineRule="auto"/>
        <w:ind w:firstLine="709"/>
        <w:jc w:val="both"/>
        <w:rPr>
          <w:i/>
          <w:sz w:val="14"/>
        </w:rPr>
      </w:pPr>
    </w:p>
    <w:p w:rsidR="00F16A10" w:rsidRDefault="00F16A10" w:rsidP="00A76AC0">
      <w:pPr>
        <w:tabs>
          <w:tab w:val="left" w:pos="540"/>
        </w:tabs>
        <w:spacing w:line="288" w:lineRule="auto"/>
        <w:rPr>
          <w:b/>
        </w:rPr>
      </w:pPr>
      <w:r w:rsidRPr="002745A6">
        <w:rPr>
          <w:b/>
        </w:rPr>
        <w:t>QUYẾT ĐỊNH:</w:t>
      </w:r>
    </w:p>
    <w:p w:rsidR="00A76AC0" w:rsidRPr="00A76AC0" w:rsidRDefault="00A76AC0" w:rsidP="00A76AC0">
      <w:pPr>
        <w:tabs>
          <w:tab w:val="left" w:pos="540"/>
        </w:tabs>
        <w:spacing w:line="288" w:lineRule="auto"/>
        <w:rPr>
          <w:b/>
          <w:sz w:val="16"/>
        </w:rPr>
      </w:pPr>
    </w:p>
    <w:p w:rsidR="00F16A10" w:rsidRPr="002F3099" w:rsidRDefault="00F16A10" w:rsidP="002F3099">
      <w:pPr>
        <w:spacing w:line="288" w:lineRule="auto"/>
        <w:jc w:val="both"/>
        <w:rPr>
          <w:rFonts w:eastAsia="Calibri"/>
          <w:b/>
        </w:rPr>
      </w:pPr>
      <w:r w:rsidRPr="00A361A2">
        <w:rPr>
          <w:b/>
        </w:rPr>
        <w:tab/>
      </w:r>
      <w:r w:rsidRPr="00E7141F">
        <w:rPr>
          <w:rFonts w:eastAsia="Calibri"/>
          <w:b/>
        </w:rPr>
        <w:t xml:space="preserve">Điều </w:t>
      </w:r>
      <w:r w:rsidR="002567AA">
        <w:rPr>
          <w:rFonts w:eastAsia="Calibri"/>
          <w:b/>
        </w:rPr>
        <w:t>1</w:t>
      </w:r>
      <w:r w:rsidRPr="00E7141F">
        <w:rPr>
          <w:rFonts w:eastAsia="Calibri"/>
          <w:b/>
        </w:rPr>
        <w:t xml:space="preserve">. </w:t>
      </w:r>
      <w:r w:rsidR="002567AA" w:rsidRPr="002F3099">
        <w:rPr>
          <w:rFonts w:eastAsia="Calibri"/>
          <w:b/>
        </w:rPr>
        <w:t>Q</w:t>
      </w:r>
      <w:r w:rsidRPr="002F3099">
        <w:rPr>
          <w:rFonts w:eastAsia="Calibri"/>
          <w:b/>
        </w:rPr>
        <w:t>uy định tỷ lệ được hưởng của các đơn vị</w:t>
      </w:r>
      <w:r w:rsidR="002F3099" w:rsidRPr="002F3099">
        <w:rPr>
          <w:rFonts w:eastAsia="Calibri"/>
          <w:b/>
        </w:rPr>
        <w:t xml:space="preserve"> liên quan trong </w:t>
      </w:r>
      <w:r w:rsidRPr="002F3099">
        <w:rPr>
          <w:rFonts w:eastAsia="Calibri"/>
          <w:b/>
        </w:rPr>
        <w:t>Nguồn kinh phí 15% của số tiền lãi thu được</w:t>
      </w:r>
      <w:r w:rsidR="0091477E" w:rsidRPr="002F3099">
        <w:rPr>
          <w:rFonts w:eastAsia="Calibri"/>
          <w:b/>
        </w:rPr>
        <w:t xml:space="preserve"> từ hoạt động cho vay bằng nguồn vốn NHCSXH nhận ủy thác từ ngân sách địa phương</w:t>
      </w:r>
      <w:r w:rsidRPr="002F3099">
        <w:rPr>
          <w:rFonts w:eastAsia="Calibri"/>
          <w:b/>
        </w:rPr>
        <w:t xml:space="preserve"> để chi </w:t>
      </w:r>
      <w:r w:rsidRPr="002F3099">
        <w:rPr>
          <w:b/>
          <w:bCs/>
          <w:lang w:val="nl-NL"/>
        </w:rPr>
        <w:t xml:space="preserve">cho công tác chỉ đạo, quản lý, tổng hợp, kiểm tra, giám sát, khen thưởng của Ban đại diện Hội đồng quản trị NHCSXH các cấp, các </w:t>
      </w:r>
      <w:r w:rsidR="0091477E" w:rsidRPr="002F3099">
        <w:rPr>
          <w:b/>
          <w:bCs/>
          <w:lang w:val="nl-NL"/>
        </w:rPr>
        <w:t>S</w:t>
      </w:r>
      <w:r w:rsidRPr="002F3099">
        <w:rPr>
          <w:b/>
          <w:bCs/>
          <w:lang w:val="nl-NL"/>
        </w:rPr>
        <w:t xml:space="preserve">ở, ngành, đơn vị liên quan </w:t>
      </w:r>
      <w:r w:rsidR="0091477E" w:rsidRPr="002F3099">
        <w:rPr>
          <w:b/>
          <w:bCs/>
          <w:lang w:val="nl-NL"/>
        </w:rPr>
        <w:t xml:space="preserve">quy định tại Điểm c Khoản 1 Điều 9 Quy chế quản lý và sử dụng nguồn vốn ngân sách địa phương ủy thác qua NHCSXH để cho vay đối với người nghèo và các đối </w:t>
      </w:r>
      <w:r w:rsidR="009B3285">
        <w:rPr>
          <w:b/>
          <w:bCs/>
          <w:lang w:val="nl-NL"/>
        </w:rPr>
        <w:t>t</w:t>
      </w:r>
      <w:r w:rsidR="0091477E" w:rsidRPr="002F3099">
        <w:rPr>
          <w:b/>
          <w:bCs/>
          <w:lang w:val="nl-NL"/>
        </w:rPr>
        <w:t xml:space="preserve">ượng chính sách khác trên địa bàn tỉnh Quảng Bình ban hành kèm theo Quyết định 32/2017/QĐ-UBND ngày 21/8/2017 của UBND tỉnh </w:t>
      </w:r>
      <w:r w:rsidRPr="002F3099">
        <w:rPr>
          <w:rFonts w:eastAsia="Calibri"/>
          <w:b/>
        </w:rPr>
        <w:t>được quy thành 100% và phân phối sử dụng như sau:</w:t>
      </w:r>
    </w:p>
    <w:p w:rsidR="00F16A10" w:rsidRDefault="00F16A10" w:rsidP="00A76AC0">
      <w:pPr>
        <w:spacing w:line="288" w:lineRule="auto"/>
        <w:jc w:val="both"/>
        <w:rPr>
          <w:bCs/>
          <w:lang w:val="nl-NL"/>
        </w:rPr>
      </w:pPr>
      <w:r>
        <w:rPr>
          <w:bCs/>
          <w:lang w:val="nl-NL"/>
        </w:rPr>
        <w:tab/>
        <w:t>- Trích 85% để chi cho hoạt động Ban đại diện Hội đồng quản trị NHCSXH các cấp</w:t>
      </w:r>
      <w:r w:rsidR="002567AA">
        <w:rPr>
          <w:bCs/>
          <w:lang w:val="nl-NL"/>
        </w:rPr>
        <w:t>.</w:t>
      </w:r>
    </w:p>
    <w:p w:rsidR="002567AA" w:rsidRDefault="00F16A10" w:rsidP="00A76AC0">
      <w:pPr>
        <w:spacing w:line="288" w:lineRule="auto"/>
        <w:ind w:firstLine="720"/>
        <w:jc w:val="both"/>
        <w:rPr>
          <w:bCs/>
          <w:lang w:val="nl-NL"/>
        </w:rPr>
      </w:pPr>
      <w:r>
        <w:rPr>
          <w:bCs/>
          <w:lang w:val="nl-NL"/>
        </w:rPr>
        <w:t xml:space="preserve">- Trích 15% để chi cho công tác chỉ đạo, quản lý, tổng hợp của </w:t>
      </w:r>
      <w:r w:rsidR="002567AA">
        <w:rPr>
          <w:bCs/>
          <w:lang w:val="nl-NL"/>
        </w:rPr>
        <w:t>cơ quan tài chính các cấp</w:t>
      </w:r>
      <w:r>
        <w:rPr>
          <w:bCs/>
          <w:lang w:val="nl-NL"/>
        </w:rPr>
        <w:t xml:space="preserve"> có liên quan đến hoạt động cho vay bằng nguồn vốn ngân sách địa phương ủy thác qua NHCSXH. </w:t>
      </w:r>
    </w:p>
    <w:p w:rsidR="00F16A10" w:rsidRPr="003C4BC7" w:rsidRDefault="00F16A10" w:rsidP="00A76AC0">
      <w:pPr>
        <w:spacing w:line="288" w:lineRule="auto"/>
        <w:jc w:val="both"/>
        <w:rPr>
          <w:b/>
          <w:bCs/>
          <w:lang w:val="nl-NL"/>
        </w:rPr>
      </w:pPr>
      <w:r w:rsidRPr="003C4BC7">
        <w:rPr>
          <w:b/>
          <w:bCs/>
          <w:color w:val="FF0000"/>
          <w:lang w:val="nl-NL"/>
        </w:rPr>
        <w:lastRenderedPageBreak/>
        <w:tab/>
      </w:r>
      <w:r w:rsidRPr="003C4BC7">
        <w:rPr>
          <w:b/>
          <w:bCs/>
          <w:lang w:val="nl-NL"/>
        </w:rPr>
        <w:t xml:space="preserve">Điều </w:t>
      </w:r>
      <w:r w:rsidR="002567AA">
        <w:rPr>
          <w:b/>
          <w:bCs/>
          <w:lang w:val="nl-NL"/>
        </w:rPr>
        <w:t>2</w:t>
      </w:r>
      <w:r w:rsidRPr="003C4BC7">
        <w:rPr>
          <w:b/>
          <w:bCs/>
          <w:lang w:val="nl-NL"/>
        </w:rPr>
        <w:t xml:space="preserve">. </w:t>
      </w:r>
      <w:r w:rsidR="0091477E">
        <w:rPr>
          <w:b/>
          <w:bCs/>
          <w:lang w:val="nl-NL"/>
        </w:rPr>
        <w:t>Hiệu lực thi hành</w:t>
      </w:r>
    </w:p>
    <w:p w:rsidR="00F16A10" w:rsidRDefault="00F16A10" w:rsidP="00A76AC0">
      <w:pPr>
        <w:spacing w:line="288" w:lineRule="auto"/>
        <w:ind w:firstLine="709"/>
        <w:jc w:val="both"/>
        <w:rPr>
          <w:bCs/>
          <w:lang w:val="nl-NL"/>
        </w:rPr>
      </w:pPr>
      <w:r>
        <w:rPr>
          <w:bCs/>
          <w:lang w:val="nl-NL"/>
        </w:rPr>
        <w:t xml:space="preserve">Quyết định này có hiệu lực kể từ ngày </w:t>
      </w:r>
      <w:r w:rsidR="009B3285">
        <w:rPr>
          <w:bCs/>
          <w:lang w:val="nl-NL"/>
        </w:rPr>
        <w:t>01/8</w:t>
      </w:r>
      <w:r>
        <w:rPr>
          <w:bCs/>
          <w:lang w:val="nl-NL"/>
        </w:rPr>
        <w:t>/2018.</w:t>
      </w:r>
    </w:p>
    <w:p w:rsidR="002F3099" w:rsidRDefault="0026450C" w:rsidP="00A76AC0">
      <w:pPr>
        <w:spacing w:line="288" w:lineRule="auto"/>
        <w:ind w:firstLine="709"/>
        <w:jc w:val="both"/>
        <w:rPr>
          <w:bCs/>
          <w:lang w:val="nl-NL"/>
        </w:rPr>
      </w:pPr>
      <w:r w:rsidRPr="00491583">
        <w:rPr>
          <w:b/>
        </w:rPr>
        <w:t>Điều 3.</w:t>
      </w:r>
      <w:r w:rsidRPr="00491583">
        <w:t xml:space="preserve"> Chánh Văn phòng Ủy ban nhân dân tỉnh; Giám đốc </w:t>
      </w:r>
      <w:r>
        <w:t>Sở Tài chính</w:t>
      </w:r>
      <w:r w:rsidRPr="00491583">
        <w:t>; Giám đốc Ngân hàng Chính sách xã hội chi nhánh tỉnh Quảng Bình; Chủ tịch Ủy ban nhân dân các huyện, thị xã, thành phố và Thủ trưởng các cơ quan, đơn vị có liên quan chịu trách nhiệm thi hành Quyết định này</w:t>
      </w:r>
      <w:r w:rsidR="00F16A10">
        <w:rPr>
          <w:bCs/>
          <w:lang w:val="nl-NL"/>
        </w:rPr>
        <w:t>./.</w:t>
      </w:r>
    </w:p>
    <w:p w:rsidR="00F16A10" w:rsidRPr="00A76AC0" w:rsidRDefault="00F16A10" w:rsidP="00F16A10">
      <w:pPr>
        <w:spacing w:line="264" w:lineRule="auto"/>
        <w:jc w:val="both"/>
        <w:rPr>
          <w:sz w:val="12"/>
        </w:rPr>
      </w:pPr>
    </w:p>
    <w:tbl>
      <w:tblPr>
        <w:tblW w:w="0" w:type="auto"/>
        <w:tblInd w:w="108" w:type="dxa"/>
        <w:tblLook w:val="04A0"/>
      </w:tblPr>
      <w:tblGrid>
        <w:gridCol w:w="4111"/>
        <w:gridCol w:w="4961"/>
      </w:tblGrid>
      <w:tr w:rsidR="00F16A10" w:rsidRPr="002745A6" w:rsidTr="000347A4">
        <w:tc>
          <w:tcPr>
            <w:tcW w:w="4111" w:type="dxa"/>
            <w:vMerge w:val="restart"/>
            <w:shd w:val="clear" w:color="auto" w:fill="auto"/>
          </w:tcPr>
          <w:p w:rsidR="00F16A10" w:rsidRPr="002745A6" w:rsidRDefault="00F16A10" w:rsidP="000347A4">
            <w:pPr>
              <w:jc w:val="both"/>
              <w:rPr>
                <w:b/>
                <w:bCs/>
                <w:i/>
                <w:iCs/>
                <w:sz w:val="26"/>
                <w:szCs w:val="26"/>
              </w:rPr>
            </w:pPr>
            <w:r w:rsidRPr="002745A6">
              <w:rPr>
                <w:b/>
                <w:i/>
                <w:iCs/>
                <w:sz w:val="26"/>
                <w:szCs w:val="26"/>
              </w:rPr>
              <w:t>Nơi nhận</w:t>
            </w:r>
            <w:r w:rsidRPr="002745A6">
              <w:rPr>
                <w:b/>
                <w:bCs/>
                <w:i/>
                <w:iCs/>
                <w:sz w:val="26"/>
                <w:szCs w:val="26"/>
              </w:rPr>
              <w:t>:</w:t>
            </w:r>
          </w:p>
          <w:p w:rsidR="00F16A10" w:rsidRDefault="00F16A10" w:rsidP="00A76AC0">
            <w:pPr>
              <w:spacing w:line="240" w:lineRule="auto"/>
              <w:jc w:val="both"/>
              <w:rPr>
                <w:sz w:val="23"/>
                <w:szCs w:val="23"/>
              </w:rPr>
            </w:pPr>
            <w:r w:rsidRPr="002745A6">
              <w:rPr>
                <w:sz w:val="23"/>
                <w:szCs w:val="23"/>
              </w:rPr>
              <w:t>- Như Điề</w:t>
            </w:r>
            <w:r>
              <w:rPr>
                <w:sz w:val="23"/>
                <w:szCs w:val="23"/>
              </w:rPr>
              <w:t>u 3;</w:t>
            </w:r>
          </w:p>
          <w:p w:rsidR="0091477E" w:rsidRDefault="0091477E" w:rsidP="00A76AC0">
            <w:pPr>
              <w:spacing w:line="240" w:lineRule="auto"/>
              <w:jc w:val="both"/>
              <w:rPr>
                <w:sz w:val="23"/>
                <w:szCs w:val="23"/>
              </w:rPr>
            </w:pPr>
            <w:r>
              <w:rPr>
                <w:sz w:val="23"/>
                <w:szCs w:val="23"/>
              </w:rPr>
              <w:t>- Bộ Tài chính;</w:t>
            </w:r>
          </w:p>
          <w:p w:rsidR="0091477E" w:rsidRPr="002745A6" w:rsidRDefault="0091477E" w:rsidP="00A76AC0">
            <w:pPr>
              <w:spacing w:line="240" w:lineRule="auto"/>
              <w:jc w:val="both"/>
              <w:rPr>
                <w:sz w:val="23"/>
                <w:szCs w:val="23"/>
              </w:rPr>
            </w:pPr>
            <w:r>
              <w:rPr>
                <w:sz w:val="23"/>
                <w:szCs w:val="23"/>
              </w:rPr>
              <w:t xml:space="preserve">- Cục kiểm tra văn bản </w:t>
            </w:r>
            <w:r w:rsidR="007F74D9">
              <w:rPr>
                <w:sz w:val="23"/>
                <w:szCs w:val="23"/>
              </w:rPr>
              <w:t>-</w:t>
            </w:r>
            <w:r>
              <w:rPr>
                <w:sz w:val="23"/>
                <w:szCs w:val="23"/>
              </w:rPr>
              <w:t xml:space="preserve"> Bộ Tư pháp;</w:t>
            </w:r>
          </w:p>
          <w:p w:rsidR="00F16A10" w:rsidRPr="002745A6" w:rsidRDefault="00F16A10" w:rsidP="00A76AC0">
            <w:pPr>
              <w:spacing w:line="240" w:lineRule="auto"/>
              <w:jc w:val="both"/>
              <w:rPr>
                <w:sz w:val="23"/>
                <w:szCs w:val="23"/>
              </w:rPr>
            </w:pPr>
            <w:r w:rsidRPr="002745A6">
              <w:rPr>
                <w:sz w:val="23"/>
                <w:szCs w:val="23"/>
              </w:rPr>
              <w:t>- Thường trực Tỉnh ủy;</w:t>
            </w:r>
          </w:p>
          <w:p w:rsidR="00F16A10" w:rsidRPr="002745A6" w:rsidRDefault="00F16A10" w:rsidP="00A76AC0">
            <w:pPr>
              <w:spacing w:line="240" w:lineRule="auto"/>
              <w:jc w:val="both"/>
              <w:rPr>
                <w:sz w:val="23"/>
                <w:szCs w:val="23"/>
              </w:rPr>
            </w:pPr>
            <w:r w:rsidRPr="002745A6">
              <w:rPr>
                <w:sz w:val="23"/>
                <w:szCs w:val="23"/>
              </w:rPr>
              <w:t>- Thường trực HĐND tỉnh;</w:t>
            </w:r>
          </w:p>
          <w:p w:rsidR="00F16A10" w:rsidRPr="002745A6" w:rsidRDefault="00F16A10" w:rsidP="00A76AC0">
            <w:pPr>
              <w:spacing w:line="240" w:lineRule="auto"/>
              <w:jc w:val="both"/>
              <w:rPr>
                <w:sz w:val="23"/>
                <w:szCs w:val="23"/>
              </w:rPr>
            </w:pPr>
            <w:r w:rsidRPr="002745A6">
              <w:rPr>
                <w:sz w:val="23"/>
                <w:szCs w:val="23"/>
              </w:rPr>
              <w:t>- Đoàn Đại biểu Quốc hội tỉnh;</w:t>
            </w:r>
          </w:p>
          <w:p w:rsidR="00F16A10" w:rsidRPr="002745A6" w:rsidRDefault="00F16A10" w:rsidP="00A76AC0">
            <w:pPr>
              <w:spacing w:line="240" w:lineRule="auto"/>
              <w:jc w:val="both"/>
              <w:rPr>
                <w:sz w:val="23"/>
                <w:szCs w:val="23"/>
              </w:rPr>
            </w:pPr>
            <w:r w:rsidRPr="002745A6">
              <w:rPr>
                <w:sz w:val="23"/>
                <w:szCs w:val="23"/>
              </w:rPr>
              <w:t>- UBMTTQ Việt Nam tỉnh;</w:t>
            </w:r>
          </w:p>
          <w:p w:rsidR="00F16A10" w:rsidRDefault="00F16A10" w:rsidP="00A76AC0">
            <w:pPr>
              <w:spacing w:line="240" w:lineRule="auto"/>
              <w:jc w:val="both"/>
              <w:rPr>
                <w:sz w:val="23"/>
                <w:szCs w:val="23"/>
              </w:rPr>
            </w:pPr>
            <w:r w:rsidRPr="002745A6">
              <w:rPr>
                <w:sz w:val="23"/>
                <w:szCs w:val="23"/>
              </w:rPr>
              <w:t>- CT, các PCT UBND tỉnh;</w:t>
            </w:r>
          </w:p>
          <w:p w:rsidR="0091477E" w:rsidRPr="002745A6" w:rsidRDefault="0091477E" w:rsidP="00A76AC0">
            <w:pPr>
              <w:spacing w:line="240" w:lineRule="auto"/>
              <w:jc w:val="both"/>
              <w:rPr>
                <w:sz w:val="23"/>
                <w:szCs w:val="23"/>
              </w:rPr>
            </w:pPr>
            <w:r>
              <w:rPr>
                <w:sz w:val="23"/>
                <w:szCs w:val="23"/>
              </w:rPr>
              <w:t>- Sở Tư pháp;</w:t>
            </w:r>
          </w:p>
          <w:p w:rsidR="00F16A10" w:rsidRPr="002745A6" w:rsidRDefault="00F16A10" w:rsidP="00A76AC0">
            <w:pPr>
              <w:spacing w:line="240" w:lineRule="auto"/>
              <w:jc w:val="both"/>
              <w:rPr>
                <w:sz w:val="23"/>
                <w:szCs w:val="23"/>
              </w:rPr>
            </w:pPr>
            <w:r w:rsidRPr="002745A6">
              <w:rPr>
                <w:sz w:val="23"/>
                <w:szCs w:val="23"/>
              </w:rPr>
              <w:t>- Văn phòng UBND tỉnh;</w:t>
            </w:r>
          </w:p>
          <w:p w:rsidR="00F16A10" w:rsidRDefault="00F16A10" w:rsidP="00A76AC0">
            <w:pPr>
              <w:spacing w:line="240" w:lineRule="auto"/>
              <w:jc w:val="both"/>
              <w:rPr>
                <w:sz w:val="23"/>
                <w:szCs w:val="23"/>
              </w:rPr>
            </w:pPr>
            <w:r w:rsidRPr="002745A6">
              <w:rPr>
                <w:sz w:val="23"/>
                <w:szCs w:val="23"/>
              </w:rPr>
              <w:t xml:space="preserve">- TT Tin học </w:t>
            </w:r>
            <w:r>
              <w:rPr>
                <w:sz w:val="23"/>
                <w:szCs w:val="23"/>
              </w:rPr>
              <w:t>-</w:t>
            </w:r>
            <w:r w:rsidRPr="002745A6">
              <w:rPr>
                <w:sz w:val="23"/>
                <w:szCs w:val="23"/>
              </w:rPr>
              <w:t xml:space="preserve"> Công báo;</w:t>
            </w:r>
          </w:p>
          <w:p w:rsidR="0091477E" w:rsidRDefault="0091477E" w:rsidP="00A76AC0">
            <w:pPr>
              <w:spacing w:line="240" w:lineRule="auto"/>
              <w:jc w:val="both"/>
              <w:rPr>
                <w:sz w:val="23"/>
                <w:szCs w:val="23"/>
              </w:rPr>
            </w:pPr>
            <w:r>
              <w:rPr>
                <w:sz w:val="23"/>
                <w:szCs w:val="23"/>
              </w:rPr>
              <w:t>- Đài PTTH Quảng Bình;</w:t>
            </w:r>
          </w:p>
          <w:p w:rsidR="0091477E" w:rsidRPr="002745A6" w:rsidRDefault="0091477E" w:rsidP="00A76AC0">
            <w:pPr>
              <w:spacing w:line="240" w:lineRule="auto"/>
              <w:jc w:val="both"/>
              <w:rPr>
                <w:sz w:val="23"/>
                <w:szCs w:val="23"/>
              </w:rPr>
            </w:pPr>
            <w:r>
              <w:rPr>
                <w:sz w:val="23"/>
                <w:szCs w:val="23"/>
              </w:rPr>
              <w:t>- Báo Quảng Bình;</w:t>
            </w:r>
          </w:p>
          <w:p w:rsidR="002F3099" w:rsidRPr="002F3099" w:rsidRDefault="00F16A10" w:rsidP="00A76AC0">
            <w:pPr>
              <w:spacing w:line="240" w:lineRule="auto"/>
              <w:ind w:right="43"/>
              <w:jc w:val="both"/>
              <w:rPr>
                <w:sz w:val="23"/>
                <w:szCs w:val="23"/>
              </w:rPr>
            </w:pPr>
            <w:r w:rsidRPr="002745A6">
              <w:rPr>
                <w:sz w:val="23"/>
                <w:szCs w:val="23"/>
              </w:rPr>
              <w:t>- Lưu</w:t>
            </w:r>
            <w:r>
              <w:rPr>
                <w:sz w:val="23"/>
                <w:szCs w:val="23"/>
              </w:rPr>
              <w:t>:</w:t>
            </w:r>
            <w:r w:rsidRPr="002745A6">
              <w:rPr>
                <w:sz w:val="23"/>
                <w:szCs w:val="23"/>
              </w:rPr>
              <w:t xml:space="preserve"> VT, </w:t>
            </w:r>
            <w:r w:rsidR="00A76AC0">
              <w:rPr>
                <w:sz w:val="23"/>
                <w:szCs w:val="23"/>
              </w:rPr>
              <w:t>TH</w:t>
            </w:r>
            <w:r w:rsidRPr="002745A6">
              <w:rPr>
                <w:sz w:val="23"/>
                <w:szCs w:val="23"/>
              </w:rPr>
              <w:t>.</w:t>
            </w:r>
          </w:p>
        </w:tc>
        <w:tc>
          <w:tcPr>
            <w:tcW w:w="4961" w:type="dxa"/>
            <w:shd w:val="clear" w:color="auto" w:fill="auto"/>
          </w:tcPr>
          <w:p w:rsidR="00F16A10" w:rsidRPr="002745A6" w:rsidRDefault="00F16A10" w:rsidP="000347A4">
            <w:pPr>
              <w:tabs>
                <w:tab w:val="center" w:pos="1701"/>
                <w:tab w:val="center" w:pos="6521"/>
              </w:tabs>
              <w:rPr>
                <w:b/>
                <w:bCs/>
                <w:sz w:val="26"/>
                <w:szCs w:val="26"/>
              </w:rPr>
            </w:pPr>
            <w:r w:rsidRPr="002745A6">
              <w:rPr>
                <w:b/>
                <w:bCs/>
                <w:sz w:val="26"/>
                <w:szCs w:val="26"/>
              </w:rPr>
              <w:t>TM. ỦY BAN NHÂN DÂN</w:t>
            </w:r>
          </w:p>
          <w:p w:rsidR="00F16A10" w:rsidRDefault="00A76AC0" w:rsidP="000347A4">
            <w:pPr>
              <w:tabs>
                <w:tab w:val="center" w:pos="1701"/>
                <w:tab w:val="center" w:pos="6521"/>
              </w:tabs>
              <w:rPr>
                <w:b/>
                <w:bCs/>
                <w:sz w:val="26"/>
                <w:szCs w:val="26"/>
              </w:rPr>
            </w:pPr>
            <w:r>
              <w:rPr>
                <w:b/>
                <w:bCs/>
                <w:sz w:val="26"/>
                <w:szCs w:val="26"/>
              </w:rPr>
              <w:t>KT. CHỦ TỊCH</w:t>
            </w:r>
          </w:p>
          <w:p w:rsidR="00A76AC0" w:rsidRDefault="00A76AC0" w:rsidP="000347A4">
            <w:pPr>
              <w:tabs>
                <w:tab w:val="center" w:pos="1701"/>
                <w:tab w:val="center" w:pos="6521"/>
              </w:tabs>
              <w:rPr>
                <w:b/>
                <w:bCs/>
                <w:sz w:val="26"/>
                <w:szCs w:val="26"/>
              </w:rPr>
            </w:pPr>
            <w:r>
              <w:rPr>
                <w:b/>
                <w:bCs/>
                <w:sz w:val="26"/>
                <w:szCs w:val="26"/>
              </w:rPr>
              <w:t>PHÓ CHỦ TỊCH</w:t>
            </w:r>
          </w:p>
          <w:p w:rsidR="00A76AC0" w:rsidRDefault="00A76AC0" w:rsidP="000347A4">
            <w:pPr>
              <w:tabs>
                <w:tab w:val="center" w:pos="1701"/>
                <w:tab w:val="center" w:pos="6521"/>
              </w:tabs>
              <w:rPr>
                <w:b/>
                <w:bCs/>
                <w:sz w:val="26"/>
                <w:szCs w:val="26"/>
              </w:rPr>
            </w:pPr>
          </w:p>
          <w:p w:rsidR="00A76AC0" w:rsidRDefault="00A76AC0" w:rsidP="000347A4">
            <w:pPr>
              <w:tabs>
                <w:tab w:val="center" w:pos="1701"/>
                <w:tab w:val="center" w:pos="6521"/>
              </w:tabs>
              <w:rPr>
                <w:b/>
                <w:bCs/>
                <w:sz w:val="26"/>
                <w:szCs w:val="26"/>
              </w:rPr>
            </w:pPr>
          </w:p>
          <w:p w:rsidR="00A76AC0" w:rsidRDefault="00925F80" w:rsidP="000347A4">
            <w:pPr>
              <w:tabs>
                <w:tab w:val="center" w:pos="1701"/>
                <w:tab w:val="center" w:pos="6521"/>
              </w:tabs>
              <w:rPr>
                <w:b/>
                <w:bCs/>
                <w:sz w:val="26"/>
                <w:szCs w:val="26"/>
              </w:rPr>
            </w:pPr>
            <w:r>
              <w:rPr>
                <w:b/>
                <w:bCs/>
                <w:sz w:val="26"/>
                <w:szCs w:val="26"/>
              </w:rPr>
              <w:t>Đã ký</w:t>
            </w:r>
            <w:bookmarkStart w:id="0" w:name="_GoBack"/>
            <w:bookmarkEnd w:id="0"/>
          </w:p>
          <w:p w:rsidR="00A76AC0" w:rsidRPr="002F3099" w:rsidRDefault="00A76AC0" w:rsidP="000347A4">
            <w:pPr>
              <w:tabs>
                <w:tab w:val="center" w:pos="1701"/>
                <w:tab w:val="center" w:pos="6521"/>
              </w:tabs>
              <w:rPr>
                <w:b/>
                <w:bCs/>
                <w:sz w:val="24"/>
                <w:szCs w:val="26"/>
              </w:rPr>
            </w:pPr>
          </w:p>
          <w:p w:rsidR="00A76AC0" w:rsidRDefault="00A76AC0" w:rsidP="000347A4">
            <w:pPr>
              <w:tabs>
                <w:tab w:val="center" w:pos="1701"/>
                <w:tab w:val="center" w:pos="6521"/>
              </w:tabs>
              <w:rPr>
                <w:b/>
                <w:bCs/>
                <w:sz w:val="26"/>
                <w:szCs w:val="26"/>
              </w:rPr>
            </w:pPr>
          </w:p>
          <w:p w:rsidR="00A76AC0" w:rsidRDefault="00A76AC0" w:rsidP="000347A4">
            <w:pPr>
              <w:tabs>
                <w:tab w:val="center" w:pos="1701"/>
                <w:tab w:val="center" w:pos="6521"/>
              </w:tabs>
              <w:rPr>
                <w:b/>
                <w:bCs/>
                <w:sz w:val="26"/>
                <w:szCs w:val="26"/>
              </w:rPr>
            </w:pPr>
            <w:r>
              <w:rPr>
                <w:b/>
                <w:bCs/>
                <w:sz w:val="26"/>
                <w:szCs w:val="26"/>
              </w:rPr>
              <w:t>Nguyễn Xuân Quang</w:t>
            </w:r>
          </w:p>
          <w:p w:rsidR="00A76AC0" w:rsidRDefault="00A76AC0" w:rsidP="000347A4">
            <w:pPr>
              <w:tabs>
                <w:tab w:val="center" w:pos="1701"/>
                <w:tab w:val="center" w:pos="6521"/>
              </w:tabs>
              <w:rPr>
                <w:b/>
                <w:bCs/>
                <w:sz w:val="26"/>
                <w:szCs w:val="26"/>
              </w:rPr>
            </w:pPr>
          </w:p>
          <w:p w:rsidR="00A76AC0" w:rsidRDefault="00A76AC0" w:rsidP="000347A4">
            <w:pPr>
              <w:tabs>
                <w:tab w:val="center" w:pos="1701"/>
                <w:tab w:val="center" w:pos="6521"/>
              </w:tabs>
              <w:rPr>
                <w:b/>
                <w:bCs/>
                <w:sz w:val="26"/>
                <w:szCs w:val="26"/>
              </w:rPr>
            </w:pPr>
          </w:p>
          <w:p w:rsidR="00A76AC0" w:rsidRDefault="00A76AC0" w:rsidP="000347A4">
            <w:pPr>
              <w:tabs>
                <w:tab w:val="center" w:pos="1701"/>
                <w:tab w:val="center" w:pos="6521"/>
              </w:tabs>
              <w:rPr>
                <w:b/>
                <w:bCs/>
                <w:sz w:val="26"/>
                <w:szCs w:val="26"/>
              </w:rPr>
            </w:pPr>
          </w:p>
          <w:p w:rsidR="00A76AC0" w:rsidRDefault="00A76AC0" w:rsidP="000347A4">
            <w:pPr>
              <w:tabs>
                <w:tab w:val="center" w:pos="1701"/>
                <w:tab w:val="center" w:pos="6521"/>
              </w:tabs>
              <w:rPr>
                <w:b/>
                <w:bCs/>
                <w:sz w:val="26"/>
                <w:szCs w:val="26"/>
              </w:rPr>
            </w:pPr>
          </w:p>
          <w:p w:rsidR="00A76AC0" w:rsidRDefault="00A76AC0" w:rsidP="000347A4">
            <w:pPr>
              <w:tabs>
                <w:tab w:val="center" w:pos="1701"/>
                <w:tab w:val="center" w:pos="6521"/>
              </w:tabs>
              <w:rPr>
                <w:b/>
                <w:bCs/>
                <w:sz w:val="26"/>
                <w:szCs w:val="26"/>
              </w:rPr>
            </w:pPr>
          </w:p>
          <w:p w:rsidR="00A76AC0" w:rsidRPr="002745A6" w:rsidRDefault="00A76AC0" w:rsidP="000347A4">
            <w:pPr>
              <w:tabs>
                <w:tab w:val="center" w:pos="1701"/>
                <w:tab w:val="center" w:pos="6521"/>
              </w:tabs>
              <w:rPr>
                <w:b/>
                <w:bCs/>
                <w:sz w:val="26"/>
                <w:szCs w:val="26"/>
              </w:rPr>
            </w:pPr>
          </w:p>
        </w:tc>
      </w:tr>
      <w:tr w:rsidR="00A76AC0" w:rsidRPr="002745A6" w:rsidTr="000347A4">
        <w:trPr>
          <w:gridAfter w:val="1"/>
          <w:wAfter w:w="4961" w:type="dxa"/>
          <w:trHeight w:val="322"/>
        </w:trPr>
        <w:tc>
          <w:tcPr>
            <w:tcW w:w="4111" w:type="dxa"/>
            <w:vMerge/>
            <w:shd w:val="clear" w:color="auto" w:fill="auto"/>
          </w:tcPr>
          <w:p w:rsidR="00A76AC0" w:rsidRPr="002745A6" w:rsidRDefault="00A76AC0" w:rsidP="000347A4">
            <w:pPr>
              <w:pStyle w:val="NormalWeb"/>
              <w:jc w:val="both"/>
              <w:rPr>
                <w:sz w:val="28"/>
                <w:szCs w:val="28"/>
              </w:rPr>
            </w:pPr>
          </w:p>
        </w:tc>
      </w:tr>
      <w:tr w:rsidR="00A76AC0" w:rsidRPr="00C8019A" w:rsidTr="000347A4">
        <w:trPr>
          <w:gridAfter w:val="1"/>
          <w:wAfter w:w="4961" w:type="dxa"/>
          <w:trHeight w:val="322"/>
        </w:trPr>
        <w:tc>
          <w:tcPr>
            <w:tcW w:w="4111" w:type="dxa"/>
            <w:vMerge/>
            <w:shd w:val="clear" w:color="auto" w:fill="auto"/>
          </w:tcPr>
          <w:p w:rsidR="00A76AC0" w:rsidRPr="00C8019A" w:rsidRDefault="00A76AC0" w:rsidP="000347A4">
            <w:pPr>
              <w:pStyle w:val="NormalWeb"/>
              <w:jc w:val="both"/>
              <w:rPr>
                <w:color w:val="FF0000"/>
                <w:sz w:val="28"/>
                <w:szCs w:val="28"/>
              </w:rPr>
            </w:pPr>
          </w:p>
        </w:tc>
      </w:tr>
    </w:tbl>
    <w:p w:rsidR="00F16A10" w:rsidRPr="00C8019A" w:rsidRDefault="00F16A10" w:rsidP="00F16A10">
      <w:pPr>
        <w:jc w:val="left"/>
        <w:rPr>
          <w:color w:val="FF0000"/>
        </w:rPr>
      </w:pPr>
    </w:p>
    <w:p w:rsidR="004968E3" w:rsidRDefault="004968E3"/>
    <w:sectPr w:rsidR="004968E3" w:rsidSect="00C7688D">
      <w:footerReference w:type="default" r:id="rId7"/>
      <w:pgSz w:w="11907" w:h="16840" w:code="9"/>
      <w:pgMar w:top="1418"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9EF" w:rsidRDefault="002D59EF" w:rsidP="002567AA">
      <w:pPr>
        <w:spacing w:line="240" w:lineRule="auto"/>
      </w:pPr>
      <w:r>
        <w:separator/>
      </w:r>
    </w:p>
  </w:endnote>
  <w:endnote w:type="continuationSeparator" w:id="1">
    <w:p w:rsidR="002D59EF" w:rsidRDefault="002D59EF" w:rsidP="002567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056161"/>
      <w:docPartObj>
        <w:docPartGallery w:val="Page Numbers (Bottom of Page)"/>
        <w:docPartUnique/>
      </w:docPartObj>
    </w:sdtPr>
    <w:sdtEndPr>
      <w:rPr>
        <w:noProof/>
      </w:rPr>
    </w:sdtEndPr>
    <w:sdtContent>
      <w:p w:rsidR="001E6DBF" w:rsidRDefault="002B45F9">
        <w:pPr>
          <w:pStyle w:val="Footer"/>
          <w:jc w:val="right"/>
        </w:pPr>
        <w:r>
          <w:fldChar w:fldCharType="begin"/>
        </w:r>
        <w:r w:rsidR="00C86B54">
          <w:instrText xml:space="preserve"> PAGE   \* MERGEFORMAT </w:instrText>
        </w:r>
        <w:r>
          <w:fldChar w:fldCharType="separate"/>
        </w:r>
        <w:r w:rsidR="00A853E3">
          <w:rPr>
            <w:noProof/>
          </w:rPr>
          <w:t>2</w:t>
        </w:r>
        <w:r>
          <w:rPr>
            <w:noProof/>
          </w:rPr>
          <w:fldChar w:fldCharType="end"/>
        </w:r>
      </w:p>
    </w:sdtContent>
  </w:sdt>
  <w:p w:rsidR="00AD2FC9" w:rsidRDefault="002D59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9EF" w:rsidRDefault="002D59EF" w:rsidP="002567AA">
      <w:pPr>
        <w:spacing w:line="240" w:lineRule="auto"/>
      </w:pPr>
      <w:r>
        <w:separator/>
      </w:r>
    </w:p>
  </w:footnote>
  <w:footnote w:type="continuationSeparator" w:id="1">
    <w:p w:rsidR="002D59EF" w:rsidRDefault="002D59EF" w:rsidP="002567A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16A10"/>
    <w:rsid w:val="0001364B"/>
    <w:rsid w:val="00052C0F"/>
    <w:rsid w:val="00095A23"/>
    <w:rsid w:val="00127F6D"/>
    <w:rsid w:val="002567AA"/>
    <w:rsid w:val="0026450C"/>
    <w:rsid w:val="002B45F9"/>
    <w:rsid w:val="002D3DCF"/>
    <w:rsid w:val="002D59EF"/>
    <w:rsid w:val="002E015D"/>
    <w:rsid w:val="002F3099"/>
    <w:rsid w:val="00346DAF"/>
    <w:rsid w:val="003E5D48"/>
    <w:rsid w:val="003F7A01"/>
    <w:rsid w:val="004968E3"/>
    <w:rsid w:val="006E1803"/>
    <w:rsid w:val="006E75BA"/>
    <w:rsid w:val="00732CD6"/>
    <w:rsid w:val="00774EC7"/>
    <w:rsid w:val="007F74D9"/>
    <w:rsid w:val="00870AA7"/>
    <w:rsid w:val="008B4759"/>
    <w:rsid w:val="0091477E"/>
    <w:rsid w:val="00925F80"/>
    <w:rsid w:val="009B3285"/>
    <w:rsid w:val="009F51FE"/>
    <w:rsid w:val="00A74351"/>
    <w:rsid w:val="00A76AC0"/>
    <w:rsid w:val="00A853E3"/>
    <w:rsid w:val="00A918A0"/>
    <w:rsid w:val="00AC2CB9"/>
    <w:rsid w:val="00BB0EE4"/>
    <w:rsid w:val="00C7688D"/>
    <w:rsid w:val="00C86B54"/>
    <w:rsid w:val="00DA626F"/>
    <w:rsid w:val="00DC3CC3"/>
    <w:rsid w:val="00F16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10"/>
    <w:pPr>
      <w:spacing w:line="276" w:lineRule="auto"/>
      <w:jc w:val="center"/>
    </w:pPr>
    <w:rPr>
      <w:rFont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A10"/>
    <w:pPr>
      <w:jc w:val="center"/>
    </w:pPr>
    <w:rPr>
      <w:rFonts w:cs="Times New Roman"/>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qFormat/>
    <w:rsid w:val="00F16A10"/>
    <w:rPr>
      <w:i/>
      <w:iCs/>
    </w:rPr>
  </w:style>
  <w:style w:type="paragraph" w:styleId="NormalWeb">
    <w:name w:val="Normal (Web)"/>
    <w:basedOn w:val="Normal"/>
    <w:rsid w:val="00F16A10"/>
    <w:pPr>
      <w:spacing w:before="100" w:beforeAutospacing="1" w:after="100" w:afterAutospacing="1" w:line="240" w:lineRule="auto"/>
      <w:jc w:val="left"/>
    </w:pPr>
    <w:rPr>
      <w:rFonts w:eastAsia="Times New Roman"/>
      <w:sz w:val="24"/>
      <w:szCs w:val="24"/>
    </w:rPr>
  </w:style>
  <w:style w:type="paragraph" w:styleId="Footer">
    <w:name w:val="footer"/>
    <w:basedOn w:val="Normal"/>
    <w:link w:val="FooterChar"/>
    <w:uiPriority w:val="99"/>
    <w:unhideWhenUsed/>
    <w:rsid w:val="00F16A10"/>
    <w:pPr>
      <w:tabs>
        <w:tab w:val="center" w:pos="4680"/>
        <w:tab w:val="right" w:pos="9360"/>
      </w:tabs>
      <w:spacing w:line="240" w:lineRule="auto"/>
    </w:pPr>
  </w:style>
  <w:style w:type="character" w:customStyle="1" w:styleId="FooterChar">
    <w:name w:val="Footer Char"/>
    <w:basedOn w:val="DefaultParagraphFont"/>
    <w:link w:val="Footer"/>
    <w:uiPriority w:val="99"/>
    <w:rsid w:val="00F16A10"/>
    <w:rPr>
      <w:rFonts w:cs="Times New Roman"/>
      <w:szCs w:val="28"/>
    </w:rPr>
  </w:style>
  <w:style w:type="paragraph" w:styleId="Header">
    <w:name w:val="header"/>
    <w:basedOn w:val="Normal"/>
    <w:link w:val="HeaderChar"/>
    <w:uiPriority w:val="99"/>
    <w:semiHidden/>
    <w:unhideWhenUsed/>
    <w:rsid w:val="002567A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567AA"/>
    <w:rPr>
      <w:rFonts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AFA92-17B2-4DBC-A035-80598F87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Kieu Huong</dc:creator>
  <cp:lastModifiedBy>Admin</cp:lastModifiedBy>
  <cp:revision>2</cp:revision>
  <cp:lastPrinted>2018-07-23T02:36:00Z</cp:lastPrinted>
  <dcterms:created xsi:type="dcterms:W3CDTF">2018-08-03T01:44:00Z</dcterms:created>
  <dcterms:modified xsi:type="dcterms:W3CDTF">2018-08-03T01:44:00Z</dcterms:modified>
</cp:coreProperties>
</file>