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9" w:type="pct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4"/>
      </w:tblGrid>
      <w:tr w:rsidR="00766D9B" w:rsidTr="00CB2837">
        <w:trPr>
          <w:tblCellSpacing w:w="15" w:type="dxa"/>
        </w:trPr>
        <w:tc>
          <w:tcPr>
            <w:tcW w:w="4980" w:type="pct"/>
            <w:vAlign w:val="center"/>
            <w:hideMark/>
          </w:tcPr>
          <w:tbl>
            <w:tblPr>
              <w:tblW w:w="1475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725"/>
              <w:gridCol w:w="1174"/>
              <w:gridCol w:w="3122"/>
              <w:gridCol w:w="1484"/>
              <w:gridCol w:w="1335"/>
              <w:gridCol w:w="1225"/>
              <w:gridCol w:w="1137"/>
              <w:gridCol w:w="1418"/>
              <w:gridCol w:w="1134"/>
              <w:gridCol w:w="1417"/>
            </w:tblGrid>
            <w:tr w:rsidR="00B06DCD" w:rsidTr="00B808ED">
              <w:trPr>
                <w:tblCellSpacing w:w="15" w:type="dxa"/>
                <w:jc w:val="center"/>
              </w:trPr>
              <w:tc>
                <w:tcPr>
                  <w:tcW w:w="1261" w:type="dxa"/>
                  <w:gridSpan w:val="2"/>
                </w:tcPr>
                <w:p w:rsidR="00B06DCD" w:rsidRPr="00EC6B17" w:rsidRDefault="00B06DCD" w:rsidP="002E50A8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999" w:type="dxa"/>
                  <w:gridSpan w:val="8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69"/>
                  </w:tblGrid>
                  <w:tr w:rsidR="00B06DCD" w:rsidRPr="00EC6B17" w:rsidTr="00C440BB">
                    <w:trPr>
                      <w:trHeight w:val="3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06DCD" w:rsidRPr="00EC6B17" w:rsidRDefault="00B06DCD" w:rsidP="00B808ED">
                        <w:pPr>
                          <w:spacing w:line="276" w:lineRule="auto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EC6B17">
                          <w:rPr>
                            <w:rFonts w:eastAsia="Times New Roman"/>
                            <w:b/>
                            <w:bCs/>
                            <w:sz w:val="26"/>
                            <w:szCs w:val="26"/>
                          </w:rPr>
                          <w:t xml:space="preserve">PHỤ LỤC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6"/>
                            <w:szCs w:val="26"/>
                          </w:rPr>
                          <w:t>Ic</w:t>
                        </w:r>
                        <w:r w:rsidRPr="00EC6B17">
                          <w:rPr>
                            <w:rFonts w:eastAsia="Times New Roman"/>
                            <w:b/>
                            <w:bCs/>
                            <w:sz w:val="26"/>
                            <w:szCs w:val="26"/>
                          </w:rPr>
                          <w:t>:  NHIỆM VỤ G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6"/>
                            <w:szCs w:val="26"/>
                          </w:rPr>
                          <w:t xml:space="preserve">IAO CHO CÁC ĐƠN VỊ </w:t>
                        </w:r>
                        <w:r w:rsidR="00B808ED">
                          <w:rPr>
                            <w:rFonts w:eastAsia="Times New Roman"/>
                            <w:b/>
                            <w:bCs/>
                            <w:sz w:val="26"/>
                            <w:szCs w:val="26"/>
                          </w:rPr>
                          <w:t>HOÀN THÀNH QUÁ HẠN VÀ HOÀN THÀNH ĐÚNG HẠN, CẬP NHẬT CHẬM THÁNG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6"/>
                            <w:szCs w:val="26"/>
                          </w:rPr>
                          <w:t xml:space="preserve"> 05/2019</w:t>
                        </w:r>
                      </w:p>
                    </w:tc>
                  </w:tr>
                  <w:tr w:rsidR="00B06DCD" w:rsidRPr="00EC6B17" w:rsidTr="00C440BB">
                    <w:trPr>
                      <w:trHeight w:val="737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06DCD" w:rsidRDefault="00B06DCD" w:rsidP="00C440BB">
                        <w:pPr>
                          <w:spacing w:line="276" w:lineRule="auto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EC6B17">
                          <w:rPr>
                            <w:rFonts w:eastAsia="Times New Roman"/>
                            <w:b/>
                            <w:bCs/>
                            <w:sz w:val="26"/>
                            <w:szCs w:val="26"/>
                          </w:rPr>
                          <w:t>Kỳ báo cáo: Từ ngày 01/0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6"/>
                            <w:szCs w:val="26"/>
                          </w:rPr>
                          <w:t>5</w:t>
                        </w:r>
                        <w:r w:rsidRPr="00EC6B17">
                          <w:rPr>
                            <w:rFonts w:eastAsia="Times New Roman"/>
                            <w:b/>
                            <w:bCs/>
                            <w:sz w:val="26"/>
                            <w:szCs w:val="26"/>
                          </w:rPr>
                          <w:t xml:space="preserve">/2019 đến ngày 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6"/>
                            <w:szCs w:val="26"/>
                          </w:rPr>
                          <w:t>31/5</w:t>
                        </w:r>
                        <w:r w:rsidRPr="00EC6B17">
                          <w:rPr>
                            <w:rFonts w:eastAsia="Times New Roman"/>
                            <w:b/>
                            <w:bCs/>
                            <w:sz w:val="26"/>
                            <w:szCs w:val="26"/>
                          </w:rPr>
                          <w:t>/2019</w:t>
                        </w:r>
                        <w:r w:rsidRPr="00EC6B17">
                          <w:rPr>
                            <w:rFonts w:eastAsia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B06DCD" w:rsidRPr="00FD773F" w:rsidRDefault="00B06DCD" w:rsidP="009B0002">
                        <w:pPr>
                          <w:tabs>
                            <w:tab w:val="left" w:pos="851"/>
                            <w:tab w:val="left" w:pos="993"/>
                          </w:tabs>
                          <w:spacing w:line="264" w:lineRule="auto"/>
                          <w:ind w:firstLine="567"/>
                          <w:jc w:val="center"/>
                          <w:rPr>
                            <w:rFonts w:eastAsia="Times New Roman"/>
                            <w:i/>
                            <w:spacing w:val="-6"/>
                            <w:sz w:val="26"/>
                            <w:szCs w:val="26"/>
                          </w:rPr>
                        </w:pPr>
                        <w:r w:rsidRPr="00BF7BD8">
                          <w:rPr>
                            <w:rFonts w:eastAsia="Times New Roman"/>
                            <w:i/>
                            <w:spacing w:val="-6"/>
                            <w:sz w:val="26"/>
                            <w:szCs w:val="26"/>
                          </w:rPr>
                          <w:t>(Số liệu báo cáo được Văn phòng UBND tỉnh thống kê trên phần mềm theo dõi thực hiện nhiệm vụ UBND tỉnh, Chủ tịch UBND tỉnh giao các sở, ngàn</w:t>
                        </w:r>
                        <w:r>
                          <w:rPr>
                            <w:rFonts w:eastAsia="Times New Roman"/>
                            <w:i/>
                            <w:spacing w:val="-6"/>
                            <w:sz w:val="26"/>
                            <w:szCs w:val="26"/>
                          </w:rPr>
                          <w:t>h, địa phương đến thời điểm 10</w:t>
                        </w:r>
                        <w:r w:rsidRPr="00BF7BD8">
                          <w:rPr>
                            <w:rFonts w:eastAsia="Times New Roman"/>
                            <w:i/>
                            <w:spacing w:val="-6"/>
                            <w:sz w:val="26"/>
                            <w:szCs w:val="26"/>
                          </w:rPr>
                          <w:t xml:space="preserve">h00 ngày </w:t>
                        </w:r>
                        <w:r>
                          <w:rPr>
                            <w:rFonts w:eastAsia="Times New Roman"/>
                            <w:i/>
                            <w:spacing w:val="-6"/>
                            <w:sz w:val="26"/>
                            <w:szCs w:val="26"/>
                          </w:rPr>
                          <w:t>04/6</w:t>
                        </w:r>
                        <w:r w:rsidRPr="00BF7BD8">
                          <w:rPr>
                            <w:rFonts w:eastAsia="Times New Roman"/>
                            <w:i/>
                            <w:spacing w:val="-6"/>
                            <w:sz w:val="26"/>
                            <w:szCs w:val="26"/>
                          </w:rPr>
                          <w:t>/2019)</w:t>
                        </w:r>
                      </w:p>
                    </w:tc>
                  </w:tr>
                </w:tbl>
                <w:p w:rsidR="00B06DCD" w:rsidRPr="00BF7BD8" w:rsidRDefault="00B06DCD" w:rsidP="009B0002">
                  <w:pPr>
                    <w:pStyle w:val="NormalWeb"/>
                    <w:spacing w:before="0" w:beforeAutospacing="0" w:after="0" w:afterAutospacing="0" w:line="276" w:lineRule="auto"/>
                    <w:rPr>
                      <w:sz w:val="26"/>
                      <w:szCs w:val="26"/>
                    </w:rPr>
                  </w:pPr>
                  <w:r w:rsidRPr="00EC6B17">
                    <w:rPr>
                      <w:sz w:val="26"/>
                      <w:szCs w:val="26"/>
                    </w:rPr>
                    <w:t>+ Tổng số công việc đã hoàn thành</w:t>
                  </w:r>
                  <w:r>
                    <w:rPr>
                      <w:sz w:val="26"/>
                      <w:szCs w:val="26"/>
                    </w:rPr>
                    <w:t xml:space="preserve"> quá hạn, cập nhật quá hạn</w:t>
                  </w:r>
                  <w:r w:rsidRPr="00EC6B17">
                    <w:rPr>
                      <w:sz w:val="26"/>
                      <w:szCs w:val="26"/>
                    </w:rPr>
                    <w:t xml:space="preserve">: </w:t>
                  </w:r>
                  <w:r>
                    <w:rPr>
                      <w:sz w:val="26"/>
                      <w:szCs w:val="26"/>
                    </w:rPr>
                    <w:t>10/273 nhiệm vụ</w:t>
                  </w:r>
                  <w:r w:rsidRPr="00EC6B17">
                    <w:rPr>
                      <w:sz w:val="26"/>
                      <w:szCs w:val="26"/>
                    </w:rPr>
                    <w:t xml:space="preserve">. </w:t>
                  </w:r>
                  <w:r>
                    <w:rPr>
                      <w:sz w:val="26"/>
                      <w:szCs w:val="26"/>
                    </w:rPr>
                    <w:t>Cụ thể</w:t>
                  </w:r>
                  <w:r w:rsidRPr="00EC6B17">
                    <w:rPr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1372" w:type="dxa"/>
                </w:tcPr>
                <w:p w:rsidR="00B06DCD" w:rsidRPr="00EC6B17" w:rsidRDefault="00B06DCD" w:rsidP="002E50A8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B06DCD" w:rsidRPr="003D72F4" w:rsidTr="00B808ED">
              <w:tblPrEx>
                <w:tblCellSpacing w:w="0" w:type="nil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  <w:tblHeader/>
                <w:jc w:val="center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6DCD" w:rsidRPr="003D72F4" w:rsidRDefault="00B06DCD" w:rsidP="00C440B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72F4">
                    <w:rPr>
                      <w:rFonts w:eastAsia="Times New Roman"/>
                      <w:b/>
                      <w:bCs/>
                    </w:rPr>
                    <w:t>STT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6DCD" w:rsidRPr="003D72F4" w:rsidRDefault="00B06DCD" w:rsidP="00C440B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72F4">
                    <w:rPr>
                      <w:rFonts w:eastAsia="Times New Roman"/>
                      <w:b/>
                      <w:bCs/>
                    </w:rPr>
                    <w:t>Số/Ký hiệu VBCĐ</w:t>
                  </w:r>
                </w:p>
              </w:tc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6DCD" w:rsidRPr="003D72F4" w:rsidRDefault="00B06DCD" w:rsidP="00C440B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72F4">
                    <w:rPr>
                      <w:rFonts w:eastAsia="Times New Roman"/>
                      <w:b/>
                      <w:bCs/>
                    </w:rPr>
                    <w:t>Nội dung công việc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3D72F4" w:rsidRDefault="00B06DCD" w:rsidP="00C440B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3D72F4">
                    <w:rPr>
                      <w:rFonts w:eastAsia="Times New Roman"/>
                      <w:b/>
                      <w:bCs/>
                    </w:rPr>
                    <w:t>Đơn vị thực hiện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6DCD" w:rsidRPr="003D72F4" w:rsidRDefault="00B06DCD" w:rsidP="00C440B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Ngày ban hành văn bản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Default="00B06DCD" w:rsidP="00C440B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Thời hạn hoàn thành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Default="00B06DCD" w:rsidP="00C440B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Ngày báo cáo</w:t>
                  </w:r>
                  <w:r w:rsidR="00CB2837">
                    <w:rPr>
                      <w:rFonts w:eastAsia="Times New Roman"/>
                      <w:b/>
                      <w:bCs/>
                    </w:rPr>
                    <w:t xml:space="preserve"> Nhiệm vụ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6DCD" w:rsidRPr="003D72F4" w:rsidRDefault="00B06DCD" w:rsidP="00B06DC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Ngày</w:t>
                  </w:r>
                  <w:r w:rsidRPr="003D72F4"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t>cập nhật</w:t>
                  </w:r>
                  <w:r w:rsidR="00CB2837">
                    <w:rPr>
                      <w:rFonts w:eastAsia="Times New Roman"/>
                      <w:b/>
                      <w:bCs/>
                    </w:rPr>
                    <w:t xml:space="preserve">  nhiệm vụ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6DCD" w:rsidRPr="003D72F4" w:rsidRDefault="00B06DCD" w:rsidP="00C440B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Trạng thái hoàn thành</w:t>
                  </w:r>
                  <w:r w:rsidR="00B808ED">
                    <w:rPr>
                      <w:rFonts w:eastAsia="Times New Roman"/>
                      <w:b/>
                      <w:bCs/>
                    </w:rPr>
                    <w:t xml:space="preserve"> trên hệ thống theo dõi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Default="00B06DCD" w:rsidP="00C440B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Ghi chú</w:t>
                  </w:r>
                </w:p>
              </w:tc>
            </w:tr>
            <w:tr w:rsidR="00B06DCD" w:rsidRPr="003D72F4" w:rsidTr="00B808ED">
              <w:tblPrEx>
                <w:tblCellSpacing w:w="0" w:type="nil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CC6DAD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709/CT-UBND</w:t>
                  </w:r>
                </w:p>
              </w:tc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06DCD" w:rsidRPr="009B0002" w:rsidRDefault="00B06DCD" w:rsidP="00C440BB">
                  <w:pPr>
                    <w:jc w:val="both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CC6DAD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V/v cung cấp danh sách thành phần mời dự Lễ kỷ niệm 30 năm tái lập tỉnh và 70 năm Ngày Quảng Bình quật khởi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color w:val="FF0000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color w:val="FF0000"/>
                      <w:sz w:val="26"/>
                      <w:szCs w:val="26"/>
                    </w:rPr>
                    <w:t>UBND huyện Quảng Trạch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17/5/2019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25/5/2019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CB2837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30/5/2019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31/05/2019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Quá hạn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AF25E8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Nhiệm vụ hoàn thành</w:t>
                  </w:r>
                  <w:r w:rsidR="00B808ED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 xml:space="preserve"> quá hạn</w:t>
                  </w:r>
                </w:p>
              </w:tc>
            </w:tr>
            <w:tr w:rsidR="00B06DCD" w:rsidRPr="003D72F4" w:rsidTr="00B808ED">
              <w:tblPrEx>
                <w:tblCellSpacing w:w="0" w:type="nil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CC6DAD">
                    <w:rPr>
                      <w:rFonts w:asciiTheme="majorHAnsi" w:hAnsiTheme="majorHAnsi" w:cstheme="majorHAnsi"/>
                      <w:sz w:val="26"/>
                      <w:szCs w:val="26"/>
                    </w:rPr>
                    <w:t>736/KH-UBND</w:t>
                  </w:r>
                </w:p>
              </w:tc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E24367">
                  <w:pPr>
                    <w:jc w:val="both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CC6DAD">
                    <w:rPr>
                      <w:rFonts w:asciiTheme="majorHAnsi" w:hAnsiTheme="majorHAnsi" w:cstheme="majorHAnsi"/>
                      <w:sz w:val="26"/>
                      <w:szCs w:val="26"/>
                    </w:rPr>
                    <w:t>Kế hoạch Sơ kết 05 năm triển khai thi hành Hiến pháp năm 2013 (2014-2019)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color w:val="FF0000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color w:val="FF0000"/>
                      <w:sz w:val="26"/>
                      <w:szCs w:val="26"/>
                    </w:rPr>
                    <w:t>Ban Dân tộc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22/5/2019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31/5/2019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CB2837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3/6/2019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03/6/2019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Quá hạn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AF25E8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Nhiệm vụ hoàn thành quá hạn</w:t>
                  </w:r>
                </w:p>
              </w:tc>
            </w:tr>
            <w:tr w:rsidR="00B06DCD" w:rsidRPr="003D72F4" w:rsidTr="00B808ED">
              <w:tblPrEx>
                <w:tblCellSpacing w:w="0" w:type="nil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CC6DAD">
                    <w:rPr>
                      <w:rFonts w:asciiTheme="majorHAnsi" w:hAnsiTheme="majorHAnsi" w:cstheme="majorHAnsi"/>
                      <w:sz w:val="26"/>
                      <w:szCs w:val="26"/>
                    </w:rPr>
                    <w:t>736/KH-UBND</w:t>
                  </w:r>
                </w:p>
              </w:tc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both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CC6DAD">
                    <w:rPr>
                      <w:rFonts w:asciiTheme="majorHAnsi" w:hAnsiTheme="majorHAnsi" w:cstheme="majorHAnsi"/>
                      <w:sz w:val="26"/>
                      <w:szCs w:val="26"/>
                    </w:rPr>
                    <w:t>Kế hoạch Sơ kết 05 năm triển khai thi hành Hiến pháp năm 2013 (2014-2019)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color w:val="FF0000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color w:val="FF0000"/>
                      <w:sz w:val="26"/>
                      <w:szCs w:val="26"/>
                    </w:rPr>
                    <w:t>Sở GD&amp;ĐT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22/5/2019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31/5/2019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CB2837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31/5/2019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03/6/2019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Quá hạn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B808ED" w:rsidP="00B808ED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Nhiệm vụ thực hiện đúng hạn, cập nhật trên hệ thống theo dõi chậm</w:t>
                  </w:r>
                </w:p>
              </w:tc>
            </w:tr>
            <w:tr w:rsidR="00B06DCD" w:rsidRPr="003D72F4" w:rsidTr="00B808ED">
              <w:tblPrEx>
                <w:tblCellSpacing w:w="0" w:type="nil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16098C">
                    <w:rPr>
                      <w:rFonts w:asciiTheme="majorHAnsi" w:hAnsiTheme="majorHAnsi" w:cstheme="majorHAnsi"/>
                      <w:sz w:val="26"/>
                      <w:szCs w:val="26"/>
                      <w:shd w:val="clear" w:color="auto" w:fill="FFFFFF"/>
                    </w:rPr>
                    <w:t>1690 /VPUBND</w:t>
                  </w:r>
                  <w:r w:rsidRPr="009B0002">
                    <w:rPr>
                      <w:rFonts w:asciiTheme="majorHAnsi" w:hAnsiTheme="majorHAnsi" w:cstheme="majorHAnsi"/>
                      <w:sz w:val="26"/>
                      <w:szCs w:val="26"/>
                    </w:rPr>
                    <w:t>-NC</w:t>
                  </w:r>
                </w:p>
              </w:tc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both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16098C">
                    <w:rPr>
                      <w:rFonts w:asciiTheme="majorHAnsi" w:hAnsiTheme="majorHAnsi" w:cstheme="majorHAnsi"/>
                      <w:sz w:val="26"/>
                      <w:szCs w:val="26"/>
                      <w:shd w:val="clear" w:color="auto" w:fill="FFFFFF"/>
                    </w:rPr>
                    <w:t xml:space="preserve">V/v tham mưu giao nhiệm vụ quản lý nhà nước về công tác </w:t>
                  </w:r>
                  <w:r w:rsidRPr="0016098C">
                    <w:rPr>
                      <w:rFonts w:asciiTheme="majorHAnsi" w:hAnsiTheme="majorHAnsi" w:cstheme="majorHAnsi"/>
                      <w:sz w:val="26"/>
                      <w:szCs w:val="26"/>
                      <w:shd w:val="clear" w:color="auto" w:fill="FFFFFF"/>
                    </w:rPr>
                    <w:lastRenderedPageBreak/>
                    <w:t>đào tạo, bồi dưỡng, thi sát hạch, cấp chứng chỉ tại Trung tâm Ngoại ngữ - Tin học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color w:val="FF0000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color w:val="FF0000"/>
                      <w:sz w:val="26"/>
                      <w:szCs w:val="26"/>
                    </w:rPr>
                    <w:lastRenderedPageBreak/>
                    <w:t>Sở GD&amp;ĐT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17/5/2019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25/5/2019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CB2837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24/5/2019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30/5/2019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Quá hạn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B808E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 xml:space="preserve">Nhiệm vụ thực hiện </w:t>
                  </w:r>
                  <w:r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lastRenderedPageBreak/>
                    <w:t>đúng hạn, cập nhật trên hệ thống theo dõi chậm</w:t>
                  </w:r>
                </w:p>
              </w:tc>
            </w:tr>
            <w:tr w:rsidR="00B06DCD" w:rsidRPr="003D72F4" w:rsidTr="00B808ED">
              <w:tblPrEx>
                <w:tblCellSpacing w:w="0" w:type="nil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/>
                <w:jc w:val="center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lastRenderedPageBreak/>
                    <w:t>6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CC6DAD">
                    <w:rPr>
                      <w:rFonts w:asciiTheme="majorHAnsi" w:hAnsiTheme="majorHAnsi" w:cstheme="majorHAnsi"/>
                      <w:sz w:val="26"/>
                      <w:szCs w:val="26"/>
                    </w:rPr>
                    <w:t>1495/VPUBND-NC</w:t>
                  </w:r>
                </w:p>
              </w:tc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both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16098C">
                    <w:rPr>
                      <w:rFonts w:asciiTheme="majorHAnsi" w:hAnsiTheme="majorHAnsi" w:cstheme="majorHAnsi"/>
                      <w:sz w:val="26"/>
                      <w:szCs w:val="26"/>
                    </w:rPr>
                    <w:t>V/v tham mưu chuẩn bị nội dung làm việc với Đoàn kiểm tra thực hiện pháp luật, chính sách thanh niên và công tác thanh niên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color w:val="FF0000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color w:val="FF0000"/>
                      <w:sz w:val="26"/>
                      <w:szCs w:val="26"/>
                    </w:rPr>
                    <w:t>Sở GD&amp;ĐT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6/5/2019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11/5/2019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CB2837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10/5/2019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13/5/2019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Quá hạn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B808ED" w:rsidP="00C440BB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Nhiệm vụ thực hiện đúng hạn, cập nhật trên hệ thống theo dõi chậm</w:t>
                  </w:r>
                </w:p>
              </w:tc>
            </w:tr>
            <w:tr w:rsidR="00B06DCD" w:rsidRPr="003D72F4" w:rsidTr="00B808ED">
              <w:tblPrEx>
                <w:tblCellSpacing w:w="0" w:type="nil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/>
                <w:jc w:val="center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9B0002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9B0002">
                  <w:pPr>
                    <w:jc w:val="center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CC6DAD">
                    <w:rPr>
                      <w:rFonts w:asciiTheme="majorHAnsi" w:hAnsiTheme="majorHAnsi" w:cstheme="majorHAnsi"/>
                      <w:sz w:val="26"/>
                      <w:szCs w:val="26"/>
                    </w:rPr>
                    <w:t>1495/VPUBND-NC</w:t>
                  </w:r>
                </w:p>
              </w:tc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9B0002">
                  <w:pPr>
                    <w:jc w:val="both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16098C">
                    <w:rPr>
                      <w:rFonts w:asciiTheme="majorHAnsi" w:hAnsiTheme="majorHAnsi" w:cstheme="majorHAnsi"/>
                      <w:sz w:val="26"/>
                      <w:szCs w:val="26"/>
                    </w:rPr>
                    <w:t>V/v tham mưu chuẩn bị nội dung làm việc với Đoàn kiểm tra thực hiện pháp luật, chính sách thanh niên và công tác thanh niên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B06DCD" w:rsidP="009B0002">
                  <w:pPr>
                    <w:jc w:val="center"/>
                    <w:rPr>
                      <w:rFonts w:asciiTheme="majorHAnsi" w:eastAsia="Times New Roman" w:hAnsiTheme="majorHAnsi" w:cstheme="majorHAnsi"/>
                      <w:color w:val="FF0000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color w:val="FF0000"/>
                      <w:sz w:val="26"/>
                      <w:szCs w:val="26"/>
                    </w:rPr>
                    <w:t>Sở LĐ,TB&amp;XH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9B0002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6/5/2019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B06DCD" w:rsidP="009B0002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11/5/2019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CB2837" w:rsidP="009B0002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14/5/2019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9B0002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14/5/2019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Default="00B06DCD" w:rsidP="009B0002">
                  <w:pPr>
                    <w:jc w:val="center"/>
                  </w:pPr>
                  <w:r w:rsidRPr="001F6DC1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Quá hạn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1F6DC1" w:rsidRDefault="00AF25E8" w:rsidP="009B0002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Nhiệm vụ hoàn thành quá hạn</w:t>
                  </w:r>
                </w:p>
              </w:tc>
            </w:tr>
            <w:tr w:rsidR="00B06DCD" w:rsidRPr="003D72F4" w:rsidTr="00B808ED">
              <w:tblPrEx>
                <w:tblCellSpacing w:w="0" w:type="nil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/>
                <w:jc w:val="center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9B0002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9B0002">
                  <w:pPr>
                    <w:jc w:val="center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16098C">
                    <w:rPr>
                      <w:rFonts w:asciiTheme="majorHAnsi" w:hAnsiTheme="majorHAnsi" w:cstheme="majorHAnsi"/>
                      <w:sz w:val="26"/>
                      <w:szCs w:val="26"/>
                    </w:rPr>
                    <w:t>1689/VPUBND-NV</w:t>
                  </w:r>
                </w:p>
              </w:tc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16098C" w:rsidRDefault="00B06DCD" w:rsidP="009B0002">
                  <w:pPr>
                    <w:jc w:val="both"/>
                    <w:rPr>
                      <w:sz w:val="26"/>
                      <w:szCs w:val="26"/>
                    </w:rPr>
                  </w:pPr>
                  <w:r w:rsidRPr="0016098C">
                    <w:rPr>
                      <w:sz w:val="26"/>
                      <w:szCs w:val="26"/>
                    </w:rPr>
                    <w:t>V/v tổng kết thi hành Nghị định 111/2011/NĐ-CP ngày 05/12/2011 của Chính phủ về chứng nhận lãnh sự, hợp pháp hóa lãnh sự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B06DCD" w:rsidP="009B0002">
                  <w:pPr>
                    <w:jc w:val="center"/>
                    <w:rPr>
                      <w:rFonts w:asciiTheme="majorHAnsi" w:eastAsia="Times New Roman" w:hAnsiTheme="majorHAnsi" w:cstheme="majorHAnsi"/>
                      <w:color w:val="FF0000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color w:val="FF0000"/>
                      <w:sz w:val="26"/>
                      <w:szCs w:val="26"/>
                    </w:rPr>
                    <w:t>Sở Ngoại Vụ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9B0002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16098C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20/05/2019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B06DCD" w:rsidP="009B0002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16098C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25/05/2019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CB2837" w:rsidP="009B0002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24/5/2019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9B0002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27/5/2019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Default="00B06DCD" w:rsidP="009B0002">
                  <w:pPr>
                    <w:jc w:val="center"/>
                  </w:pPr>
                  <w:r w:rsidRPr="001F6DC1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Quá hạn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1F6DC1" w:rsidRDefault="00B808ED" w:rsidP="009B0002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Nhiệm vụ thực hiện đúng hạn, cập nhật trên hệ thống theo dõi chậm</w:t>
                  </w:r>
                </w:p>
              </w:tc>
            </w:tr>
            <w:tr w:rsidR="00B06DCD" w:rsidRPr="003D72F4" w:rsidTr="00B808ED">
              <w:tblPrEx>
                <w:tblCellSpacing w:w="0" w:type="nil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9"/>
                <w:jc w:val="center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16098C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A41944" w:rsidRDefault="00B06DCD" w:rsidP="0016098C">
                  <w:pPr>
                    <w:jc w:val="center"/>
                  </w:pPr>
                  <w:r w:rsidRPr="00A41944">
                    <w:t>1551/VPUBND-NC</w:t>
                  </w:r>
                </w:p>
              </w:tc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Default="00B06DCD" w:rsidP="0016098C">
                  <w:pPr>
                    <w:jc w:val="center"/>
                  </w:pPr>
                  <w:r w:rsidRPr="00A41944">
                    <w:t>V/v xử lý việc bác sỹ cử tuyển đơn phương chấm dứt hợp đồng lao động.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B06DCD" w:rsidP="0016098C">
                  <w:pPr>
                    <w:jc w:val="center"/>
                    <w:rPr>
                      <w:rFonts w:asciiTheme="majorHAnsi" w:eastAsia="Times New Roman" w:hAnsiTheme="majorHAnsi" w:cstheme="majorHAnsi"/>
                      <w:color w:val="FF0000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color w:val="FF0000"/>
                      <w:sz w:val="26"/>
                      <w:szCs w:val="26"/>
                    </w:rPr>
                    <w:t>Sở Nội Vụ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16098C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hAnsiTheme="majorHAnsi" w:cstheme="majorHAnsi"/>
                      <w:color w:val="0000FF"/>
                      <w:sz w:val="26"/>
                      <w:szCs w:val="26"/>
                    </w:rPr>
                    <w:br/>
                  </w:r>
                  <w:r w:rsidRPr="0016098C">
                    <w:rPr>
                      <w:rFonts w:asciiTheme="majorHAnsi" w:hAnsiTheme="majorHAnsi" w:cstheme="majorHAnsi"/>
                      <w:sz w:val="26"/>
                      <w:szCs w:val="26"/>
                    </w:rPr>
                    <w:t>09/05/2019</w:t>
                  </w:r>
                </w:p>
                <w:p w:rsidR="00B06DCD" w:rsidRPr="009B0002" w:rsidRDefault="00B06DCD" w:rsidP="0016098C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B06DCD" w:rsidP="0016098C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16098C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30/05/2019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CB2837" w:rsidP="0016098C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3/6/2019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16098C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04/6/2019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Default="00B06DCD" w:rsidP="0016098C">
                  <w:pPr>
                    <w:jc w:val="center"/>
                  </w:pPr>
                  <w:r w:rsidRPr="001F6DC1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Quá hạn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1F6DC1" w:rsidRDefault="00AF25E8" w:rsidP="0016098C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Nhiệm vụ hoàn thành quá hạn</w:t>
                  </w:r>
                  <w:bookmarkStart w:id="0" w:name="_GoBack"/>
                  <w:bookmarkEnd w:id="0"/>
                </w:p>
              </w:tc>
            </w:tr>
            <w:tr w:rsidR="00B06DCD" w:rsidRPr="003D72F4" w:rsidTr="00B808ED">
              <w:tblPrEx>
                <w:tblCellSpacing w:w="0" w:type="nil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17"/>
                <w:jc w:val="center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9B0002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lastRenderedPageBreak/>
                    <w:t>10</w:t>
                  </w:r>
                </w:p>
              </w:tc>
              <w:tc>
                <w:tcPr>
                  <w:tcW w:w="1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9B0002">
                  <w:pPr>
                    <w:jc w:val="center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16098C">
                    <w:rPr>
                      <w:rFonts w:asciiTheme="majorHAnsi" w:hAnsiTheme="majorHAnsi" w:cstheme="majorHAnsi"/>
                      <w:sz w:val="26"/>
                      <w:szCs w:val="26"/>
                    </w:rPr>
                    <w:t>1443/VPUBND-VX</w:t>
                  </w:r>
                </w:p>
              </w:tc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E24367" w:rsidRDefault="00B06DCD" w:rsidP="00E24367">
                  <w:pPr>
                    <w:jc w:val="both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16098C">
                    <w:rPr>
                      <w:rFonts w:asciiTheme="majorHAnsi" w:hAnsiTheme="majorHAnsi" w:cstheme="majorHAnsi"/>
                      <w:sz w:val="26"/>
                      <w:szCs w:val="26"/>
                    </w:rPr>
                    <w:t>V/v kiểm tra, rà soát số liệu hộ nghèo, hộ cận nghèo đủ điều kiện nhận hỗ trợ đầu thu truyền hình số trong vùng bị ảnh hưởng thực tế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B06DCD" w:rsidP="009B0002">
                  <w:pPr>
                    <w:jc w:val="center"/>
                    <w:rPr>
                      <w:rFonts w:asciiTheme="majorHAnsi" w:eastAsia="Times New Roman" w:hAnsiTheme="majorHAnsi" w:cstheme="majorHAnsi"/>
                      <w:color w:val="FF0000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color w:val="FF0000"/>
                      <w:sz w:val="26"/>
                      <w:szCs w:val="26"/>
                    </w:rPr>
                    <w:t>Sở TT&amp;TT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9B0002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16098C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04/05/2019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B06DCD" w:rsidP="009B0002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16098C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12/05/2019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9B0002" w:rsidRDefault="00CB2837" w:rsidP="009B0002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10/5/2019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Pr="009B0002" w:rsidRDefault="00B06DCD" w:rsidP="009B0002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 w:rsidRPr="009B0002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13/5/2019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06DCD" w:rsidRDefault="00B06DCD" w:rsidP="009B0002">
                  <w:pPr>
                    <w:jc w:val="center"/>
                  </w:pPr>
                  <w:r w:rsidRPr="001F6DC1"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Quá hạn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DCD" w:rsidRPr="001F6DC1" w:rsidRDefault="00B808ED" w:rsidP="009B0002">
                  <w:pPr>
                    <w:jc w:val="center"/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6"/>
                      <w:szCs w:val="26"/>
                    </w:rPr>
                    <w:t>Nhiệm vụ thực hiện đúng hạn, cập nhật trên hệ thống theo dõi chậm</w:t>
                  </w:r>
                </w:p>
              </w:tc>
            </w:tr>
          </w:tbl>
          <w:p w:rsidR="00C440BB" w:rsidRDefault="00C440BB" w:rsidP="00C440BB">
            <w:pPr>
              <w:rPr>
                <w:vanish/>
              </w:rPr>
            </w:pPr>
          </w:p>
          <w:p w:rsidR="00C440BB" w:rsidRDefault="00C440BB" w:rsidP="00C440BB"/>
          <w:p w:rsidR="00766D9B" w:rsidRDefault="00766D9B">
            <w:pPr>
              <w:rPr>
                <w:sz w:val="28"/>
                <w:szCs w:val="28"/>
              </w:rPr>
            </w:pPr>
          </w:p>
        </w:tc>
      </w:tr>
    </w:tbl>
    <w:p w:rsidR="00766D9B" w:rsidRDefault="00766D9B">
      <w:pPr>
        <w:rPr>
          <w:vanish/>
        </w:rPr>
      </w:pPr>
    </w:p>
    <w:p w:rsidR="00F404BB" w:rsidRDefault="00F404BB">
      <w:r>
        <w:br/>
      </w:r>
    </w:p>
    <w:sectPr w:rsidR="00F404BB">
      <w:pgSz w:w="16839" w:h="11907" w:orient="landscape"/>
      <w:pgMar w:top="1152" w:right="1152" w:bottom="11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BB"/>
    <w:rsid w:val="0016098C"/>
    <w:rsid w:val="002D4B4C"/>
    <w:rsid w:val="002E50A8"/>
    <w:rsid w:val="00316948"/>
    <w:rsid w:val="00335E85"/>
    <w:rsid w:val="0038607D"/>
    <w:rsid w:val="00646C2B"/>
    <w:rsid w:val="00766D9B"/>
    <w:rsid w:val="0085698A"/>
    <w:rsid w:val="009B0002"/>
    <w:rsid w:val="00AF25E8"/>
    <w:rsid w:val="00B06DCD"/>
    <w:rsid w:val="00B808ED"/>
    <w:rsid w:val="00BD0AA1"/>
    <w:rsid w:val="00C02E6B"/>
    <w:rsid w:val="00C440BB"/>
    <w:rsid w:val="00CB2837"/>
    <w:rsid w:val="00CC6DAD"/>
    <w:rsid w:val="00E24367"/>
    <w:rsid w:val="00F4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FD230E"/>
  <w15:chartTrackingRefBased/>
  <w15:docId w15:val="{71776232-5DD5-47C1-8EB3-4D1B15C8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pPr>
      <w:spacing w:before="100" w:beforeAutospacing="1" w:after="100" w:afterAutospacing="1"/>
    </w:pPr>
    <w:tblPr>
      <w:tblInd w:w="0" w:type="nil"/>
      <w:tblBorders>
        <w:top w:val="single" w:sz="6" w:space="0" w:color="auto"/>
        <w:left w:val="single" w:sz="6" w:space="0" w:color="auto"/>
      </w:tblBorders>
      <w:tblCellMar>
        <w:left w:w="0" w:type="dxa"/>
        <w:right w:w="0" w:type="dxa"/>
      </w:tblCellMar>
    </w:tblPr>
  </w:style>
  <w:style w:type="paragraph" w:customStyle="1" w:styleId="msotablegrid10">
    <w:name w:val="msotablegrid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B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35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Hùng Trần</dc:creator>
  <cp:keywords/>
  <dc:description/>
  <cp:lastModifiedBy>Win10-1809</cp:lastModifiedBy>
  <cp:revision>13</cp:revision>
  <cp:lastPrinted>2019-06-07T01:32:00Z</cp:lastPrinted>
  <dcterms:created xsi:type="dcterms:W3CDTF">2019-06-04T14:56:00Z</dcterms:created>
  <dcterms:modified xsi:type="dcterms:W3CDTF">2019-06-07T01:33:00Z</dcterms:modified>
</cp:coreProperties>
</file>