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Borders>
          <w:insideH w:val="single" w:sz="4" w:space="0" w:color="auto"/>
        </w:tblBorders>
        <w:tblLook w:val="0000" w:firstRow="0" w:lastRow="0" w:firstColumn="0" w:lastColumn="0" w:noHBand="0" w:noVBand="0"/>
      </w:tblPr>
      <w:tblGrid>
        <w:gridCol w:w="3686"/>
        <w:gridCol w:w="6096"/>
      </w:tblGrid>
      <w:tr w:rsidR="00621A65" w:rsidRPr="001026EA" w:rsidTr="00E3698C">
        <w:trPr>
          <w:trHeight w:val="1257"/>
        </w:trPr>
        <w:tc>
          <w:tcPr>
            <w:tcW w:w="3686" w:type="dxa"/>
          </w:tcPr>
          <w:p w:rsidR="00621A65" w:rsidRPr="001026EA" w:rsidRDefault="00621A65" w:rsidP="00104D4D">
            <w:pPr>
              <w:widowControl w:val="0"/>
              <w:spacing w:after="0" w:line="240" w:lineRule="auto"/>
              <w:jc w:val="center"/>
              <w:rPr>
                <w:b/>
                <w:spacing w:val="-2"/>
                <w:sz w:val="28"/>
                <w:szCs w:val="28"/>
              </w:rPr>
            </w:pPr>
            <w:r w:rsidRPr="001026EA">
              <w:rPr>
                <w:b/>
                <w:spacing w:val="-2"/>
                <w:sz w:val="28"/>
                <w:szCs w:val="28"/>
              </w:rPr>
              <w:t>ỦY BAN NHÂN DÂN</w:t>
            </w:r>
          </w:p>
          <w:p w:rsidR="00621A65" w:rsidRPr="001026EA" w:rsidRDefault="00621A65" w:rsidP="00104D4D">
            <w:pPr>
              <w:widowControl w:val="0"/>
              <w:spacing w:after="0" w:line="240" w:lineRule="auto"/>
              <w:jc w:val="center"/>
              <w:rPr>
                <w:b/>
                <w:spacing w:val="-2"/>
                <w:sz w:val="28"/>
                <w:szCs w:val="28"/>
              </w:rPr>
            </w:pPr>
            <w:r w:rsidRPr="001026EA">
              <w:rPr>
                <w:b/>
                <w:spacing w:val="-2"/>
                <w:sz w:val="28"/>
                <w:szCs w:val="28"/>
              </w:rPr>
              <w:t>TỈNH QUẢNG BÌNH</w:t>
            </w:r>
          </w:p>
          <w:p w:rsidR="00621A65" w:rsidRPr="001026EA" w:rsidRDefault="00621A65" w:rsidP="00104D4D">
            <w:pPr>
              <w:widowControl w:val="0"/>
              <w:spacing w:before="120" w:after="120" w:line="240" w:lineRule="auto"/>
              <w:jc w:val="center"/>
              <w:rPr>
                <w:spacing w:val="-2"/>
                <w:sz w:val="28"/>
                <w:szCs w:val="28"/>
              </w:rPr>
            </w:pPr>
            <w:r w:rsidRPr="001026EA">
              <w:rPr>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777240</wp:posOffset>
                      </wp:positionH>
                      <wp:positionV relativeFrom="paragraph">
                        <wp:posOffset>5714</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9BC3B"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45pt" to="11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hmIw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"/>
                  </w:pict>
                </mc:Fallback>
              </mc:AlternateContent>
            </w:r>
            <w:r w:rsidRPr="001026EA">
              <w:rPr>
                <w:spacing w:val="-2"/>
                <w:sz w:val="28"/>
                <w:szCs w:val="28"/>
              </w:rPr>
              <w:t xml:space="preserve">Số:    </w:t>
            </w:r>
            <w:r w:rsidR="00294A3C" w:rsidRPr="001026EA">
              <w:rPr>
                <w:spacing w:val="-2"/>
                <w:sz w:val="28"/>
                <w:szCs w:val="28"/>
              </w:rPr>
              <w:t xml:space="preserve">   </w:t>
            </w:r>
            <w:r w:rsidRPr="001026EA">
              <w:rPr>
                <w:spacing w:val="-2"/>
                <w:sz w:val="28"/>
                <w:szCs w:val="28"/>
              </w:rPr>
              <w:t xml:space="preserve">      /BC - UBND</w:t>
            </w:r>
          </w:p>
        </w:tc>
        <w:tc>
          <w:tcPr>
            <w:tcW w:w="6096" w:type="dxa"/>
          </w:tcPr>
          <w:p w:rsidR="00621A65" w:rsidRPr="001026EA" w:rsidRDefault="00621A65" w:rsidP="00104D4D">
            <w:pPr>
              <w:widowControl w:val="0"/>
              <w:spacing w:after="0" w:line="240" w:lineRule="auto"/>
              <w:ind w:right="-216"/>
              <w:jc w:val="center"/>
              <w:rPr>
                <w:b/>
                <w:spacing w:val="-2"/>
                <w:sz w:val="28"/>
                <w:szCs w:val="28"/>
              </w:rPr>
            </w:pPr>
            <w:r w:rsidRPr="001026EA">
              <w:rPr>
                <w:b/>
                <w:spacing w:val="-2"/>
                <w:sz w:val="28"/>
                <w:szCs w:val="28"/>
              </w:rPr>
              <w:t>CỘNG HÒA XÃ HỘI CHỦ NGHĨA VIỆT NAM</w:t>
            </w:r>
          </w:p>
          <w:p w:rsidR="00621A65" w:rsidRPr="001026EA" w:rsidRDefault="00621A65" w:rsidP="00104D4D">
            <w:pPr>
              <w:widowControl w:val="0"/>
              <w:spacing w:after="0" w:line="240" w:lineRule="auto"/>
              <w:jc w:val="center"/>
              <w:rPr>
                <w:b/>
                <w:spacing w:val="-2"/>
                <w:sz w:val="28"/>
                <w:szCs w:val="28"/>
              </w:rPr>
            </w:pPr>
            <w:r w:rsidRPr="001026EA">
              <w:rPr>
                <w:b/>
                <w:spacing w:val="-2"/>
                <w:sz w:val="28"/>
                <w:szCs w:val="28"/>
              </w:rPr>
              <w:t>Độc lập – Tự do – Hạnh phúc</w:t>
            </w:r>
          </w:p>
          <w:p w:rsidR="00621A65" w:rsidRPr="001026EA" w:rsidRDefault="00621A65" w:rsidP="00104D4D">
            <w:pPr>
              <w:widowControl w:val="0"/>
              <w:spacing w:before="120" w:after="0" w:line="240" w:lineRule="auto"/>
              <w:jc w:val="center"/>
              <w:rPr>
                <w:b/>
                <w:spacing w:val="-2"/>
                <w:sz w:val="28"/>
                <w:szCs w:val="28"/>
              </w:rPr>
            </w:pPr>
            <w:r w:rsidRPr="001026EA">
              <w:rPr>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802640</wp:posOffset>
                      </wp:positionH>
                      <wp:positionV relativeFrom="paragraph">
                        <wp:posOffset>12699</wp:posOffset>
                      </wp:positionV>
                      <wp:extent cx="214566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47C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pt,1pt" to="23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8I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"/>
                  </w:pict>
                </mc:Fallback>
              </mc:AlternateContent>
            </w:r>
            <w:r w:rsidRPr="001026EA">
              <w:rPr>
                <w:i/>
                <w:spacing w:val="-2"/>
                <w:sz w:val="28"/>
                <w:szCs w:val="28"/>
              </w:rPr>
              <w:t xml:space="preserve">Quảng Bình, ngày   </w:t>
            </w:r>
            <w:r w:rsidR="001026EA" w:rsidRPr="001026EA">
              <w:rPr>
                <w:i/>
                <w:spacing w:val="-2"/>
                <w:sz w:val="28"/>
                <w:szCs w:val="28"/>
              </w:rPr>
              <w:t xml:space="preserve">     </w:t>
            </w:r>
            <w:r w:rsidRPr="001026EA">
              <w:rPr>
                <w:i/>
                <w:spacing w:val="-2"/>
                <w:sz w:val="28"/>
                <w:szCs w:val="28"/>
              </w:rPr>
              <w:t xml:space="preserve">  tháng </w:t>
            </w:r>
            <w:r w:rsidR="001026EA" w:rsidRPr="001026EA">
              <w:rPr>
                <w:i/>
                <w:spacing w:val="-2"/>
                <w:sz w:val="28"/>
                <w:szCs w:val="28"/>
              </w:rPr>
              <w:t xml:space="preserve">       </w:t>
            </w:r>
            <w:r w:rsidRPr="001026EA">
              <w:rPr>
                <w:i/>
                <w:spacing w:val="-2"/>
                <w:sz w:val="28"/>
                <w:szCs w:val="28"/>
              </w:rPr>
              <w:t xml:space="preserve"> năm 2019</w:t>
            </w:r>
          </w:p>
        </w:tc>
      </w:tr>
    </w:tbl>
    <w:p w:rsidR="00621A65" w:rsidRPr="00621A65" w:rsidRDefault="00621A65" w:rsidP="00104D4D">
      <w:pPr>
        <w:widowControl w:val="0"/>
        <w:rPr>
          <w:b/>
          <w:sz w:val="14"/>
        </w:rPr>
      </w:pPr>
    </w:p>
    <w:p w:rsidR="00621A65" w:rsidRPr="00DF11E0" w:rsidRDefault="00621A65" w:rsidP="00104D4D">
      <w:pPr>
        <w:widowControl w:val="0"/>
        <w:spacing w:after="0" w:line="240" w:lineRule="auto"/>
        <w:jc w:val="center"/>
        <w:rPr>
          <w:b/>
          <w:sz w:val="28"/>
          <w:szCs w:val="28"/>
        </w:rPr>
      </w:pPr>
      <w:r w:rsidRPr="00DF11E0">
        <w:rPr>
          <w:b/>
          <w:sz w:val="28"/>
          <w:szCs w:val="28"/>
        </w:rPr>
        <w:t>BÁO CÁO</w:t>
      </w:r>
    </w:p>
    <w:p w:rsidR="00423993" w:rsidRDefault="00423993" w:rsidP="00104D4D">
      <w:pPr>
        <w:widowControl w:val="0"/>
        <w:spacing w:after="0" w:line="240" w:lineRule="auto"/>
        <w:jc w:val="center"/>
        <w:rPr>
          <w:b/>
          <w:sz w:val="28"/>
          <w:szCs w:val="28"/>
        </w:rPr>
      </w:pPr>
      <w:r>
        <w:rPr>
          <w:b/>
          <w:sz w:val="28"/>
          <w:szCs w:val="28"/>
        </w:rPr>
        <w:t xml:space="preserve">Kết quả triển khai thực hiện Quyết định số 3367/QĐ-UBND ngày 26/10/2016 của UBND tỉnh về quy định tiêu chí đánh giá công tác dân vận </w:t>
      </w:r>
    </w:p>
    <w:p w:rsidR="00423993" w:rsidRDefault="00423993" w:rsidP="00104D4D">
      <w:pPr>
        <w:widowControl w:val="0"/>
        <w:spacing w:after="0" w:line="240" w:lineRule="auto"/>
        <w:jc w:val="center"/>
        <w:rPr>
          <w:b/>
          <w:sz w:val="28"/>
          <w:szCs w:val="28"/>
        </w:rPr>
      </w:pPr>
      <w:r>
        <w:rPr>
          <w:b/>
          <w:sz w:val="28"/>
          <w:szCs w:val="28"/>
        </w:rPr>
        <w:t>của các cơ quan Nhà nước trên địa bàn tỉnh Quảng Bình</w:t>
      </w:r>
    </w:p>
    <w:p w:rsidR="00621A65" w:rsidRDefault="00423993" w:rsidP="00104D4D">
      <w:pPr>
        <w:widowControl w:val="0"/>
        <w:spacing w:after="0" w:line="240" w:lineRule="auto"/>
        <w:jc w:val="center"/>
        <w:rPr>
          <w:b/>
          <w:sz w:val="30"/>
        </w:rPr>
      </w:pPr>
      <w:r>
        <w:rPr>
          <w:b/>
          <w:noProof/>
          <w:sz w:val="30"/>
        </w:rPr>
        <mc:AlternateContent>
          <mc:Choice Requires="wps">
            <w:drawing>
              <wp:anchor distT="0" distB="0" distL="114300" distR="114300" simplePos="0" relativeHeight="251665408" behindDoc="0" locked="0" layoutInCell="1" allowOverlap="1">
                <wp:simplePos x="0" y="0"/>
                <wp:positionH relativeFrom="column">
                  <wp:posOffset>1746885</wp:posOffset>
                </wp:positionH>
                <wp:positionV relativeFrom="paragraph">
                  <wp:posOffset>19355</wp:posOffset>
                </wp:positionV>
                <wp:extent cx="2633472" cy="7316"/>
                <wp:effectExtent l="0" t="0" r="33655" b="31115"/>
                <wp:wrapNone/>
                <wp:docPr id="6" name="Straight Connector 6"/>
                <wp:cNvGraphicFramePr/>
                <a:graphic xmlns:a="http://schemas.openxmlformats.org/drawingml/2006/main">
                  <a:graphicData uri="http://schemas.microsoft.com/office/word/2010/wordprocessingShape">
                    <wps:wsp>
                      <wps:cNvCnPr/>
                      <wps:spPr>
                        <a:xfrm flipV="1">
                          <a:off x="0" y="0"/>
                          <a:ext cx="2633472"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8A3B3"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7.55pt,1.5pt" to="344.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" strokecolor="black [3200]" strokeweight=".5pt">
                <v:stroke joinstyle="miter"/>
              </v:line>
            </w:pict>
          </mc:Fallback>
        </mc:AlternateContent>
      </w:r>
    </w:p>
    <w:p w:rsidR="00621A65" w:rsidRPr="007F7D72" w:rsidRDefault="00621A65" w:rsidP="00104D4D">
      <w:pPr>
        <w:widowControl w:val="0"/>
        <w:tabs>
          <w:tab w:val="left" w:pos="3253"/>
        </w:tabs>
        <w:spacing w:before="60" w:after="60"/>
        <w:rPr>
          <w:b/>
          <w:sz w:val="2"/>
          <w:szCs w:val="28"/>
        </w:rPr>
      </w:pPr>
    </w:p>
    <w:p w:rsidR="00621A65" w:rsidRPr="00292E9E" w:rsidRDefault="00621A65" w:rsidP="00104D4D">
      <w:pPr>
        <w:widowControl w:val="0"/>
        <w:spacing w:before="80" w:after="80" w:line="240" w:lineRule="auto"/>
        <w:ind w:firstLine="567"/>
        <w:jc w:val="both"/>
        <w:rPr>
          <w:sz w:val="28"/>
          <w:szCs w:val="28"/>
        </w:rPr>
      </w:pPr>
      <w:r w:rsidRPr="00292E9E">
        <w:rPr>
          <w:sz w:val="28"/>
          <w:szCs w:val="28"/>
        </w:rPr>
        <w:t xml:space="preserve">Thực hiện Chương trình phối hợp giữa Ban Dân vận Tỉnh ủy và Ban </w:t>
      </w:r>
      <w:r>
        <w:rPr>
          <w:sz w:val="28"/>
          <w:szCs w:val="28"/>
        </w:rPr>
        <w:t>C</w:t>
      </w:r>
      <w:r w:rsidRPr="00292E9E">
        <w:rPr>
          <w:sz w:val="28"/>
          <w:szCs w:val="28"/>
        </w:rPr>
        <w:t>án sự Đảng Ủy ban nhân dân tỉnh về công tác dân vận giai đoạn 2016-2021; Kế hoạch số 44-KH/BDVTU-BCSĐUBND ngày 11/02/2019 và Kế hoạch số 46-KH/BCSĐUBND- BDVTU ngày 05/4/2019 củ</w:t>
      </w:r>
      <w:r w:rsidR="00CB5FA0">
        <w:rPr>
          <w:sz w:val="28"/>
          <w:szCs w:val="28"/>
        </w:rPr>
        <w:t>a Ban C</w:t>
      </w:r>
      <w:r w:rsidRPr="00292E9E">
        <w:rPr>
          <w:sz w:val="28"/>
          <w:szCs w:val="28"/>
        </w:rPr>
        <w:t>án sự Đản</w:t>
      </w:r>
      <w:r>
        <w:rPr>
          <w:sz w:val="28"/>
          <w:szCs w:val="28"/>
        </w:rPr>
        <w:t>g Ủy ban nhân dân tỉnh và Ban Dâ</w:t>
      </w:r>
      <w:r w:rsidRPr="00292E9E">
        <w:rPr>
          <w:sz w:val="28"/>
          <w:szCs w:val="28"/>
        </w:rPr>
        <w:t xml:space="preserve">n vận Tỉnh ủy về tổ chức Hội nghị “Trao đổi kinh nghiệm về thực hiện các tiêu chí đánh giá công tác dân vận chính quyền” trên địa bàn tỉnh Quảng Bình, Ủy ban nhân dân tỉnh báo cáo </w:t>
      </w:r>
      <w:r w:rsidR="00CB5FA0">
        <w:rPr>
          <w:sz w:val="28"/>
          <w:szCs w:val="28"/>
        </w:rPr>
        <w:t>đánh giá</w:t>
      </w:r>
      <w:r>
        <w:rPr>
          <w:sz w:val="28"/>
          <w:szCs w:val="28"/>
        </w:rPr>
        <w:t xml:space="preserve"> kết quả hơn 02 năm triển khai</w:t>
      </w:r>
      <w:r w:rsidRPr="00292E9E">
        <w:rPr>
          <w:sz w:val="28"/>
          <w:szCs w:val="28"/>
        </w:rPr>
        <w:t xml:space="preserve"> thực hiện Quyết định số 3367/QĐ-UBND ngày 26/10/2016 của UBND tỉnh về Quy định các tiêu chí đánh giá công tác dân vận của các cơ quan nhà nước trên địa bàn tỉnh (gọi tắt là Quyết định số 3367/QĐ-UBND) như sau:</w:t>
      </w:r>
    </w:p>
    <w:p w:rsidR="00621A65" w:rsidRPr="00292E9E" w:rsidRDefault="00621A65" w:rsidP="00104D4D">
      <w:pPr>
        <w:widowControl w:val="0"/>
        <w:spacing w:before="80" w:after="80" w:line="240" w:lineRule="auto"/>
        <w:ind w:firstLine="567"/>
        <w:jc w:val="both"/>
        <w:rPr>
          <w:b/>
          <w:sz w:val="28"/>
          <w:szCs w:val="28"/>
        </w:rPr>
      </w:pPr>
      <w:r w:rsidRPr="00292E9E">
        <w:rPr>
          <w:b/>
          <w:sz w:val="28"/>
          <w:szCs w:val="28"/>
        </w:rPr>
        <w:t>I. CÔNG TÁC LÃNH ĐẠO, CHỈ ĐẠO</w:t>
      </w:r>
    </w:p>
    <w:p w:rsidR="00621A65" w:rsidRDefault="00621A65" w:rsidP="00104D4D">
      <w:pPr>
        <w:widowControl w:val="0"/>
        <w:shd w:val="clear" w:color="auto" w:fill="FFFFFF"/>
        <w:spacing w:before="80" w:after="80" w:line="240" w:lineRule="auto"/>
        <w:ind w:firstLine="567"/>
        <w:jc w:val="both"/>
        <w:rPr>
          <w:color w:val="000000"/>
          <w:spacing w:val="-4"/>
          <w:sz w:val="28"/>
          <w:szCs w:val="28"/>
          <w:bdr w:val="none" w:sz="0" w:space="0" w:color="auto" w:frame="1"/>
          <w:lang w:val="nl-NL"/>
        </w:rPr>
      </w:pPr>
      <w:r w:rsidRPr="00292E9E">
        <w:rPr>
          <w:color w:val="000000"/>
          <w:sz w:val="28"/>
          <w:szCs w:val="28"/>
          <w:bdr w:val="none" w:sz="0" w:space="0" w:color="auto" w:frame="1"/>
          <w:lang w:val="nl-NL"/>
        </w:rPr>
        <w:t>  </w:t>
      </w:r>
      <w:r w:rsidRPr="00292E9E">
        <w:rPr>
          <w:color w:val="000000"/>
          <w:spacing w:val="-4"/>
          <w:sz w:val="28"/>
          <w:szCs w:val="28"/>
          <w:bdr w:val="none" w:sz="0" w:space="0" w:color="auto" w:frame="1"/>
          <w:lang w:val="nl-NL"/>
        </w:rPr>
        <w:t xml:space="preserve">Dưới sự lãnh đạo, chỉ đạo điều hành của các cấp ủy Đảng, của chính quyền các cấp, công tác Dân vận trong hệ thống chính trị nói chung và công tác Dân vận của chính quyền nói riêng </w:t>
      </w:r>
      <w:r w:rsidR="0035561A">
        <w:rPr>
          <w:color w:val="000000"/>
          <w:spacing w:val="-4"/>
          <w:sz w:val="28"/>
          <w:szCs w:val="28"/>
          <w:bdr w:val="none" w:sz="0" w:space="0" w:color="auto" w:frame="1"/>
          <w:lang w:val="nl-NL"/>
        </w:rPr>
        <w:t xml:space="preserve">đã </w:t>
      </w:r>
      <w:r w:rsidRPr="00292E9E">
        <w:rPr>
          <w:color w:val="000000"/>
          <w:spacing w:val="-4"/>
          <w:sz w:val="28"/>
          <w:szCs w:val="28"/>
          <w:bdr w:val="none" w:sz="0" w:space="0" w:color="auto" w:frame="1"/>
          <w:lang w:val="nl-NL"/>
        </w:rPr>
        <w:t>có sự chuyển biến tích cực và rõ nét, từng bước mang lại hiệu quả</w:t>
      </w:r>
      <w:r w:rsidR="0074191B">
        <w:rPr>
          <w:color w:val="000000"/>
          <w:spacing w:val="-4"/>
          <w:sz w:val="28"/>
          <w:szCs w:val="28"/>
          <w:bdr w:val="none" w:sz="0" w:space="0" w:color="auto" w:frame="1"/>
          <w:lang w:val="nl-NL"/>
        </w:rPr>
        <w:t>, n</w:t>
      </w:r>
      <w:r w:rsidRPr="00292E9E">
        <w:rPr>
          <w:color w:val="000000"/>
          <w:spacing w:val="-4"/>
          <w:sz w:val="28"/>
          <w:szCs w:val="28"/>
          <w:bdr w:val="none" w:sz="0" w:space="0" w:color="auto" w:frame="1"/>
          <w:lang w:val="nl-NL"/>
        </w:rPr>
        <w:t>hất là sau khi Ủy ban nhân dân tỉnh ban hành Quyết định số 3367/QĐ-UBND ngày 26/10/2016 của Ủy ban nhân dân tỉnh về Quy định các tiêu chí đánh giá công tác dân vận của các cơ quan nhà nước trên địa bàn tỉnh Quả</w:t>
      </w:r>
      <w:r w:rsidR="005F63A9">
        <w:rPr>
          <w:color w:val="000000"/>
          <w:spacing w:val="-4"/>
          <w:sz w:val="28"/>
          <w:szCs w:val="28"/>
          <w:bdr w:val="none" w:sz="0" w:space="0" w:color="auto" w:frame="1"/>
          <w:lang w:val="nl-NL"/>
        </w:rPr>
        <w:t>ng Bình. Đ</w:t>
      </w:r>
      <w:r w:rsidRPr="00292E9E">
        <w:rPr>
          <w:color w:val="000000"/>
          <w:spacing w:val="-4"/>
          <w:sz w:val="28"/>
          <w:szCs w:val="28"/>
          <w:bdr w:val="none" w:sz="0" w:space="0" w:color="auto" w:frame="1"/>
          <w:lang w:val="nl-NL"/>
        </w:rPr>
        <w:t>ây là nội dung quan trọng, cốt yếu, bám sát nhiệm vụ và thực tiễn tại các cơ quan và địa phương khi đánh giá công tác dân vận chính quyền và cũng là cơ sở để các cơ quan, đơn vị địa phương, người đứng đầu, cán bộ, công chức xác định rõ những nhiệm vụ chủ yếu, những công việc cụ thể gắn với trách nhiệm của từng cơ quan, đơn vị, địa p</w:t>
      </w:r>
      <w:r>
        <w:rPr>
          <w:color w:val="000000"/>
          <w:spacing w:val="-4"/>
          <w:sz w:val="28"/>
          <w:szCs w:val="28"/>
          <w:bdr w:val="none" w:sz="0" w:space="0" w:color="auto" w:frame="1"/>
          <w:lang w:val="nl-NL"/>
        </w:rPr>
        <w:t>hương khi thực hiện nhiệm vụ.</w:t>
      </w:r>
    </w:p>
    <w:p w:rsidR="00621A65" w:rsidRDefault="007A5B64" w:rsidP="00104D4D">
      <w:pPr>
        <w:widowControl w:val="0"/>
        <w:shd w:val="clear" w:color="auto" w:fill="FFFFFF"/>
        <w:spacing w:before="80" w:after="80" w:line="240" w:lineRule="auto"/>
        <w:ind w:firstLine="567"/>
        <w:jc w:val="both"/>
        <w:rPr>
          <w:color w:val="000000"/>
          <w:spacing w:val="-4"/>
          <w:sz w:val="28"/>
          <w:szCs w:val="28"/>
          <w:bdr w:val="none" w:sz="0" w:space="0" w:color="auto" w:frame="1"/>
          <w:lang w:val="nl-NL"/>
        </w:rPr>
      </w:pPr>
      <w:r>
        <w:rPr>
          <w:color w:val="000000"/>
          <w:spacing w:val="-4"/>
          <w:sz w:val="28"/>
          <w:szCs w:val="28"/>
          <w:bdr w:val="none" w:sz="0" w:space="0" w:color="auto" w:frame="1"/>
          <w:lang w:val="nl-NL"/>
        </w:rPr>
        <w:t>T</w:t>
      </w:r>
      <w:r w:rsidR="00621A65">
        <w:rPr>
          <w:color w:val="000000"/>
          <w:spacing w:val="-4"/>
          <w:sz w:val="28"/>
          <w:szCs w:val="28"/>
          <w:bdr w:val="none" w:sz="0" w:space="0" w:color="auto" w:frame="1"/>
          <w:lang w:val="nl-NL"/>
        </w:rPr>
        <w:t xml:space="preserve">riển khai thực hiện Kế hoạch công tác dân vận chính quyền, </w:t>
      </w:r>
      <w:r w:rsidR="00621A65" w:rsidRPr="00292E9E">
        <w:rPr>
          <w:color w:val="000000"/>
          <w:spacing w:val="-4"/>
          <w:sz w:val="28"/>
          <w:szCs w:val="28"/>
          <w:bdr w:val="none" w:sz="0" w:space="0" w:color="auto" w:frame="1"/>
          <w:lang w:val="nl-NL"/>
        </w:rPr>
        <w:t>Ủy ban nhân dân tỉnh đã chỉ đạo các sở, ban, ngành và Ủy ban nhân dân các huyện, thị xã, thành phố tổ chức triển khai phổ biến, quán triệt đến toàn thể cán bộ, công chức, viên chức và người lao động về các nội dung của Quyết định số 3367/QĐ-UBND của UBND tỉnh và các văn bản liên quan về công tác dân vận</w:t>
      </w:r>
      <w:r w:rsidR="00621A65">
        <w:rPr>
          <w:color w:val="000000"/>
          <w:spacing w:val="-4"/>
          <w:sz w:val="28"/>
          <w:szCs w:val="28"/>
          <w:bdr w:val="none" w:sz="0" w:space="0" w:color="auto" w:frame="1"/>
          <w:lang w:val="nl-NL"/>
        </w:rPr>
        <w:t>, đồng thời tổ chức tự chấm điểm, đánh giá công tác dân vận tại cơ quan, đơn vị, địa phương</w:t>
      </w:r>
      <w:r w:rsidR="00F652CE">
        <w:rPr>
          <w:color w:val="000000"/>
          <w:spacing w:val="-4"/>
          <w:sz w:val="28"/>
          <w:szCs w:val="28"/>
          <w:bdr w:val="none" w:sz="0" w:space="0" w:color="auto" w:frame="1"/>
          <w:lang w:val="nl-NL"/>
        </w:rPr>
        <w:t xml:space="preserve">; </w:t>
      </w:r>
      <w:r w:rsidR="00E66D66">
        <w:rPr>
          <w:color w:val="000000"/>
          <w:spacing w:val="-4"/>
          <w:sz w:val="28"/>
          <w:szCs w:val="28"/>
          <w:bdr w:val="none" w:sz="0" w:space="0" w:color="auto" w:frame="1"/>
          <w:lang w:val="nl-NL"/>
        </w:rPr>
        <w:t xml:space="preserve">trên cơ sở đó, </w:t>
      </w:r>
      <w:r w:rsidR="00F652CE" w:rsidRPr="00292E9E">
        <w:rPr>
          <w:color w:val="000000"/>
          <w:spacing w:val="-4"/>
          <w:sz w:val="28"/>
          <w:szCs w:val="28"/>
          <w:bdr w:val="none" w:sz="0" w:space="0" w:color="auto" w:frame="1"/>
          <w:lang w:val="nl-NL"/>
        </w:rPr>
        <w:t>yêu cầu các sở, ban, ngành và Ủy ban nhân dân các huyện, thị xã, thành phố xây dựng kế hoạch thực hiện công tác dân vận chính quyền của cơ quan, đơn vị mình để tổ chức, thực hiện</w:t>
      </w:r>
      <w:r w:rsidR="00F652CE">
        <w:rPr>
          <w:rStyle w:val="FootnoteReference"/>
          <w:color w:val="000000"/>
          <w:spacing w:val="-4"/>
          <w:sz w:val="28"/>
          <w:szCs w:val="28"/>
          <w:bdr w:val="none" w:sz="0" w:space="0" w:color="auto" w:frame="1"/>
          <w:lang w:val="nl-NL"/>
        </w:rPr>
        <w:footnoteReference w:id="1"/>
      </w:r>
      <w:r w:rsidR="00621A65" w:rsidRPr="00292E9E">
        <w:rPr>
          <w:color w:val="000000"/>
          <w:spacing w:val="-4"/>
          <w:sz w:val="28"/>
          <w:szCs w:val="28"/>
          <w:bdr w:val="none" w:sz="0" w:space="0" w:color="auto" w:frame="1"/>
          <w:lang w:val="nl-NL"/>
        </w:rPr>
        <w:t xml:space="preserve">. </w:t>
      </w:r>
    </w:p>
    <w:p w:rsidR="00621A65" w:rsidRDefault="00621A65" w:rsidP="00104D4D">
      <w:pPr>
        <w:widowControl w:val="0"/>
        <w:shd w:val="clear" w:color="auto" w:fill="FFFFFF"/>
        <w:spacing w:before="80" w:after="80" w:line="240" w:lineRule="auto"/>
        <w:ind w:firstLine="567"/>
        <w:jc w:val="both"/>
        <w:rPr>
          <w:color w:val="000000"/>
          <w:spacing w:val="-4"/>
          <w:sz w:val="28"/>
          <w:szCs w:val="28"/>
          <w:bdr w:val="none" w:sz="0" w:space="0" w:color="auto" w:frame="1"/>
          <w:lang w:val="nl-NL"/>
        </w:rPr>
      </w:pPr>
      <w:r w:rsidRPr="00292E9E">
        <w:rPr>
          <w:color w:val="000000"/>
          <w:spacing w:val="-4"/>
          <w:sz w:val="28"/>
          <w:szCs w:val="28"/>
          <w:bdr w:val="none" w:sz="0" w:space="0" w:color="auto" w:frame="1"/>
          <w:lang w:val="nl-NL"/>
        </w:rPr>
        <w:lastRenderedPageBreak/>
        <w:t>Ủy ban nhân dân tỉnh đã phối hợp với Ban Dân vận Tỉnh ủy</w:t>
      </w:r>
      <w:r>
        <w:rPr>
          <w:color w:val="000000"/>
          <w:spacing w:val="-4"/>
          <w:sz w:val="28"/>
          <w:szCs w:val="28"/>
          <w:bdr w:val="none" w:sz="0" w:space="0" w:color="auto" w:frame="1"/>
          <w:lang w:val="nl-NL"/>
        </w:rPr>
        <w:t xml:space="preserve"> tổ chức tập huấn công tác dân vận chính quyền; tổ chức hội nghị trao đổi kinh nghiệm trong triển khai thực hiện công tác dân vận chính quyền;</w:t>
      </w:r>
      <w:r w:rsidRPr="00292E9E">
        <w:rPr>
          <w:color w:val="000000"/>
          <w:spacing w:val="-4"/>
          <w:sz w:val="28"/>
          <w:szCs w:val="28"/>
          <w:bdr w:val="none" w:sz="0" w:space="0" w:color="auto" w:frame="1"/>
          <w:lang w:val="nl-NL"/>
        </w:rPr>
        <w:t xml:space="preserve"> xây dựng Kế hoạch kiểm tra và tổ chức kiểm tra việc thực hiện công tác dân vận chính quyền </w:t>
      </w:r>
      <w:r>
        <w:rPr>
          <w:color w:val="000000"/>
          <w:spacing w:val="-4"/>
          <w:sz w:val="28"/>
          <w:szCs w:val="28"/>
          <w:bdr w:val="none" w:sz="0" w:space="0" w:color="auto" w:frame="1"/>
          <w:lang w:val="nl-NL"/>
        </w:rPr>
        <w:t>theo các tiêu chí đánh giá quy định tại</w:t>
      </w:r>
      <w:r w:rsidRPr="00292E9E">
        <w:rPr>
          <w:color w:val="000000"/>
          <w:spacing w:val="-4"/>
          <w:sz w:val="28"/>
          <w:szCs w:val="28"/>
          <w:bdr w:val="none" w:sz="0" w:space="0" w:color="auto" w:frame="1"/>
          <w:lang w:val="nl-NL"/>
        </w:rPr>
        <w:t xml:space="preserve"> Quyết định 3367/QĐ-UBND tại các cơ quan, đơn vị, địa phương. </w:t>
      </w:r>
    </w:p>
    <w:p w:rsidR="00621A65" w:rsidRPr="00C36B49" w:rsidRDefault="00640284" w:rsidP="00104D4D">
      <w:pPr>
        <w:widowControl w:val="0"/>
        <w:shd w:val="clear" w:color="auto" w:fill="FFFFFF"/>
        <w:spacing w:before="80" w:after="80" w:line="240" w:lineRule="auto"/>
        <w:ind w:firstLine="567"/>
        <w:jc w:val="both"/>
        <w:rPr>
          <w:spacing w:val="-6"/>
          <w:position w:val="-4"/>
          <w:sz w:val="28"/>
          <w:szCs w:val="28"/>
          <w:bdr w:val="none" w:sz="0" w:space="0" w:color="auto" w:frame="1"/>
          <w:lang w:val="nl-NL"/>
        </w:rPr>
      </w:pPr>
      <w:r>
        <w:rPr>
          <w:color w:val="000000"/>
          <w:spacing w:val="-6"/>
          <w:position w:val="-4"/>
          <w:sz w:val="28"/>
          <w:szCs w:val="28"/>
          <w:bdr w:val="none" w:sz="0" w:space="0" w:color="auto" w:frame="1"/>
          <w:lang w:val="nl-NL"/>
        </w:rPr>
        <w:t xml:space="preserve">Chỉ đạo </w:t>
      </w:r>
      <w:r w:rsidR="00621A65" w:rsidRPr="00C36B49">
        <w:rPr>
          <w:color w:val="000000"/>
          <w:spacing w:val="-6"/>
          <w:position w:val="-4"/>
          <w:sz w:val="28"/>
          <w:szCs w:val="28"/>
          <w:bdr w:val="none" w:sz="0" w:space="0" w:color="auto" w:frame="1"/>
          <w:lang w:val="nl-NL"/>
        </w:rPr>
        <w:t>Sở Nội vụ theo dõi, đôn đốc và hướng dẫn việc triển khai thực hiện Quyết định 3367/QĐ-UBND</w:t>
      </w:r>
      <w:r>
        <w:rPr>
          <w:color w:val="000000"/>
          <w:spacing w:val="-6"/>
          <w:position w:val="-4"/>
          <w:sz w:val="28"/>
          <w:szCs w:val="28"/>
          <w:bdr w:val="none" w:sz="0" w:space="0" w:color="auto" w:frame="1"/>
          <w:lang w:val="nl-NL"/>
        </w:rPr>
        <w:t>,</w:t>
      </w:r>
      <w:r w:rsidR="00621A65" w:rsidRPr="00C36B49">
        <w:rPr>
          <w:color w:val="000000"/>
          <w:spacing w:val="-6"/>
          <w:position w:val="-4"/>
          <w:sz w:val="28"/>
          <w:szCs w:val="28"/>
          <w:bdr w:val="none" w:sz="0" w:space="0" w:color="auto" w:frame="1"/>
          <w:lang w:val="nl-NL"/>
        </w:rPr>
        <w:t xml:space="preserve"> đồng thời tổng hợp báo cáo tình hình, kết quả thực hiện công tác dân vận hàng năm cho Ủy ban nhân dân tỉnh.</w:t>
      </w:r>
      <w:r w:rsidR="00621A65" w:rsidRPr="00C36B49">
        <w:rPr>
          <w:color w:val="FF0000"/>
          <w:spacing w:val="-6"/>
          <w:position w:val="-4"/>
          <w:sz w:val="28"/>
          <w:szCs w:val="28"/>
          <w:bdr w:val="none" w:sz="0" w:space="0" w:color="auto" w:frame="1"/>
          <w:lang w:val="nl-NL"/>
        </w:rPr>
        <w:t xml:space="preserve"> </w:t>
      </w:r>
      <w:r w:rsidR="006E7817">
        <w:rPr>
          <w:spacing w:val="-6"/>
          <w:position w:val="-4"/>
          <w:sz w:val="28"/>
          <w:szCs w:val="28"/>
          <w:bdr w:val="none" w:sz="0" w:space="0" w:color="auto" w:frame="1"/>
          <w:lang w:val="nl-NL"/>
        </w:rPr>
        <w:t>T</w:t>
      </w:r>
      <w:r w:rsidR="00621A65" w:rsidRPr="00C36B49">
        <w:rPr>
          <w:spacing w:val="-6"/>
          <w:position w:val="-4"/>
          <w:sz w:val="28"/>
          <w:szCs w:val="28"/>
          <w:bdr w:val="none" w:sz="0" w:space="0" w:color="auto" w:frame="1"/>
          <w:lang w:val="nl-NL"/>
        </w:rPr>
        <w:t xml:space="preserve">hực hiện chức trách được giao, các sở, ban, ngành và Ủy ban nhân dân các huyện, thị xã, thành phố thường xuyên gắn việc triển khai thực hiện các nhiệm vụ phát triển kinh tế xã hội, giữ vững quốc phòng an ninh, ổn định chính trị, an toàn xã hội </w:t>
      </w:r>
      <w:r w:rsidR="004055B5">
        <w:rPr>
          <w:spacing w:val="-6"/>
          <w:position w:val="-4"/>
          <w:sz w:val="28"/>
          <w:szCs w:val="28"/>
          <w:bdr w:val="none" w:sz="0" w:space="0" w:color="auto" w:frame="1"/>
          <w:lang w:val="nl-NL"/>
        </w:rPr>
        <w:t>với</w:t>
      </w:r>
      <w:r w:rsidR="00621A65" w:rsidRPr="00C36B49">
        <w:rPr>
          <w:spacing w:val="-6"/>
          <w:position w:val="-4"/>
          <w:sz w:val="28"/>
          <w:szCs w:val="28"/>
          <w:bdr w:val="none" w:sz="0" w:space="0" w:color="auto" w:frame="1"/>
          <w:lang w:val="nl-NL"/>
        </w:rPr>
        <w:t xml:space="preserve"> thực hiện tốt công tác vận độ</w:t>
      </w:r>
      <w:r w:rsidR="004055B5">
        <w:rPr>
          <w:spacing w:val="-6"/>
          <w:position w:val="-4"/>
          <w:sz w:val="28"/>
          <w:szCs w:val="28"/>
          <w:bdr w:val="none" w:sz="0" w:space="0" w:color="auto" w:frame="1"/>
          <w:lang w:val="nl-NL"/>
        </w:rPr>
        <w:t>ng N</w:t>
      </w:r>
      <w:r w:rsidR="00621A65" w:rsidRPr="00C36B49">
        <w:rPr>
          <w:spacing w:val="-6"/>
          <w:position w:val="-4"/>
          <w:sz w:val="28"/>
          <w:szCs w:val="28"/>
          <w:bdr w:val="none" w:sz="0" w:space="0" w:color="auto" w:frame="1"/>
          <w:lang w:val="nl-NL"/>
        </w:rPr>
        <w:t xml:space="preserve">hân dân thực hiện tốt Quy chế dân chủ ở cơ sở. Cán bộ, công chức, viên chức luôn nêu cao tinh thần phục vụ và ý thức trách nhiệm trước </w:t>
      </w:r>
      <w:r w:rsidR="000A1DA5">
        <w:rPr>
          <w:spacing w:val="-6"/>
          <w:position w:val="-4"/>
          <w:sz w:val="28"/>
          <w:szCs w:val="28"/>
          <w:bdr w:val="none" w:sz="0" w:space="0" w:color="auto" w:frame="1"/>
          <w:lang w:val="nl-NL"/>
        </w:rPr>
        <w:t>N</w:t>
      </w:r>
      <w:r w:rsidR="00621A65" w:rsidRPr="00C36B49">
        <w:rPr>
          <w:spacing w:val="-6"/>
          <w:position w:val="-4"/>
          <w:sz w:val="28"/>
          <w:szCs w:val="28"/>
          <w:bdr w:val="none" w:sz="0" w:space="0" w:color="auto" w:frame="1"/>
          <w:lang w:val="nl-NL"/>
        </w:rPr>
        <w:t xml:space="preserve">hân dân trong quá trình thực thi công vụ, tăng cường trách nhiệm trong việc tiếp công dân, giải quyết đơn thư khiếu nại, tố cáo của công dân theo đúng luật định; khắc phục tệ quan liêu, cửa quyền, gây phiền hà cho nhân dân, luôn tôn trọng và phát huy quyền làm chủ của </w:t>
      </w:r>
      <w:r w:rsidR="000A1DA5">
        <w:rPr>
          <w:spacing w:val="-6"/>
          <w:position w:val="-4"/>
          <w:sz w:val="28"/>
          <w:szCs w:val="28"/>
          <w:bdr w:val="none" w:sz="0" w:space="0" w:color="auto" w:frame="1"/>
          <w:lang w:val="nl-NL"/>
        </w:rPr>
        <w:t>N</w:t>
      </w:r>
      <w:r w:rsidR="00621A65" w:rsidRPr="00C36B49">
        <w:rPr>
          <w:spacing w:val="-6"/>
          <w:position w:val="-4"/>
          <w:sz w:val="28"/>
          <w:szCs w:val="28"/>
          <w:bdr w:val="none" w:sz="0" w:space="0" w:color="auto" w:frame="1"/>
          <w:lang w:val="nl-NL"/>
        </w:rPr>
        <w:t xml:space="preserve">hân dân. Công tác dân vận của các cơ quan nhà nước từ tỉnh đến địa phương, cơ sở đã góp phần quan trọng trong việc phát huy sức mạnh khối đại đoàn kết toàn dân, cũng cố lòng tin của </w:t>
      </w:r>
      <w:r w:rsidR="004A321B">
        <w:rPr>
          <w:spacing w:val="-6"/>
          <w:position w:val="-4"/>
          <w:sz w:val="28"/>
          <w:szCs w:val="28"/>
          <w:bdr w:val="none" w:sz="0" w:space="0" w:color="auto" w:frame="1"/>
          <w:lang w:val="nl-NL"/>
        </w:rPr>
        <w:t>N</w:t>
      </w:r>
      <w:r w:rsidR="00621A65" w:rsidRPr="00C36B49">
        <w:rPr>
          <w:spacing w:val="-6"/>
          <w:position w:val="-4"/>
          <w:sz w:val="28"/>
          <w:szCs w:val="28"/>
          <w:bdr w:val="none" w:sz="0" w:space="0" w:color="auto" w:frame="1"/>
          <w:lang w:val="nl-NL"/>
        </w:rPr>
        <w:t>hân dân đối với các cấp ủy đảng, chính quyền, tạo sự ổn định chính trị, góp phần thực hiện thắng lợi các mục tiêu, nhiệm vụ phát triển kinh tế- xã hội của tỉnh, cũng cố quốc phòng, an ninh xây dựng hệ thống chính trị vững mạnh.</w:t>
      </w:r>
    </w:p>
    <w:p w:rsidR="00621A65" w:rsidRDefault="00621A65" w:rsidP="00104D4D">
      <w:pPr>
        <w:widowControl w:val="0"/>
        <w:tabs>
          <w:tab w:val="left" w:pos="4320"/>
        </w:tabs>
        <w:spacing w:before="80" w:after="80" w:line="240" w:lineRule="auto"/>
        <w:ind w:firstLine="567"/>
        <w:jc w:val="both"/>
        <w:rPr>
          <w:i/>
          <w:sz w:val="28"/>
          <w:szCs w:val="28"/>
        </w:rPr>
      </w:pPr>
      <w:r w:rsidRPr="00292E9E">
        <w:rPr>
          <w:b/>
          <w:sz w:val="28"/>
          <w:szCs w:val="28"/>
        </w:rPr>
        <w:t>II. KẾT QUẢ THỰC HIỆN</w:t>
      </w:r>
      <w:r w:rsidRPr="00292E9E">
        <w:rPr>
          <w:b/>
          <w:sz w:val="28"/>
          <w:szCs w:val="28"/>
        </w:rPr>
        <w:tab/>
      </w:r>
    </w:p>
    <w:p w:rsidR="00621A65" w:rsidRPr="00A108F3" w:rsidRDefault="00621A65" w:rsidP="00104D4D">
      <w:pPr>
        <w:widowControl w:val="0"/>
        <w:tabs>
          <w:tab w:val="center" w:pos="4819"/>
        </w:tabs>
        <w:spacing w:before="80" w:after="80" w:line="240" w:lineRule="auto"/>
        <w:ind w:firstLine="567"/>
        <w:jc w:val="both"/>
        <w:rPr>
          <w:b/>
          <w:sz w:val="28"/>
          <w:szCs w:val="28"/>
        </w:rPr>
      </w:pPr>
      <w:r w:rsidRPr="00A108F3">
        <w:rPr>
          <w:b/>
          <w:sz w:val="28"/>
          <w:szCs w:val="28"/>
        </w:rPr>
        <w:t>1. Ưu điể</w:t>
      </w:r>
      <w:r w:rsidR="00A108F3">
        <w:rPr>
          <w:b/>
          <w:sz w:val="28"/>
          <w:szCs w:val="28"/>
        </w:rPr>
        <w:t>m</w:t>
      </w:r>
      <w:r w:rsidRPr="00A108F3">
        <w:rPr>
          <w:b/>
          <w:sz w:val="28"/>
          <w:szCs w:val="28"/>
        </w:rPr>
        <w:tab/>
      </w:r>
    </w:p>
    <w:p w:rsidR="00621A65" w:rsidRPr="00D11112" w:rsidRDefault="00621A65" w:rsidP="00104D4D">
      <w:pPr>
        <w:widowControl w:val="0"/>
        <w:spacing w:before="80" w:after="80" w:line="240" w:lineRule="auto"/>
        <w:ind w:firstLine="567"/>
        <w:jc w:val="both"/>
        <w:rPr>
          <w:sz w:val="28"/>
          <w:szCs w:val="28"/>
          <w:bdr w:val="none" w:sz="0" w:space="0" w:color="auto" w:frame="1"/>
        </w:rPr>
      </w:pPr>
      <w:r w:rsidRPr="00D11112">
        <w:rPr>
          <w:sz w:val="28"/>
          <w:szCs w:val="28"/>
          <w:bdr w:val="none" w:sz="0" w:space="0" w:color="auto" w:frame="1"/>
        </w:rPr>
        <w:t xml:space="preserve">Qua hơn 2 năm triển khai thực hiện Quyết định số 3367/QĐ-UBND của UBND tỉnh, các </w:t>
      </w:r>
      <w:r w:rsidR="00042E57">
        <w:rPr>
          <w:sz w:val="28"/>
          <w:szCs w:val="28"/>
          <w:bdr w:val="none" w:sz="0" w:space="0" w:color="auto" w:frame="1"/>
        </w:rPr>
        <w:t>s</w:t>
      </w:r>
      <w:r w:rsidRPr="00D11112">
        <w:rPr>
          <w:sz w:val="28"/>
          <w:szCs w:val="28"/>
          <w:bdr w:val="none" w:sz="0" w:space="0" w:color="auto" w:frame="1"/>
        </w:rPr>
        <w:t>ở, b</w:t>
      </w:r>
      <w:r>
        <w:rPr>
          <w:sz w:val="28"/>
          <w:szCs w:val="28"/>
          <w:bdr w:val="none" w:sz="0" w:space="0" w:color="auto" w:frame="1"/>
        </w:rPr>
        <w:t>an, ngành</w:t>
      </w:r>
      <w:r w:rsidR="008759F8">
        <w:rPr>
          <w:sz w:val="28"/>
          <w:szCs w:val="28"/>
          <w:bdr w:val="none" w:sz="0" w:space="0" w:color="auto" w:frame="1"/>
        </w:rPr>
        <w:t>,</w:t>
      </w:r>
      <w:r>
        <w:rPr>
          <w:sz w:val="28"/>
          <w:szCs w:val="28"/>
          <w:bdr w:val="none" w:sz="0" w:space="0" w:color="auto" w:frame="1"/>
        </w:rPr>
        <w:t xml:space="preserve"> </w:t>
      </w:r>
      <w:r w:rsidR="008759F8">
        <w:rPr>
          <w:sz w:val="28"/>
          <w:szCs w:val="28"/>
          <w:bdr w:val="none" w:sz="0" w:space="0" w:color="auto" w:frame="1"/>
        </w:rPr>
        <w:t>đơn vị</w:t>
      </w:r>
      <w:r w:rsidR="008759F8">
        <w:rPr>
          <w:sz w:val="28"/>
          <w:szCs w:val="28"/>
          <w:bdr w:val="none" w:sz="0" w:space="0" w:color="auto" w:frame="1"/>
        </w:rPr>
        <w:t xml:space="preserve"> </w:t>
      </w:r>
      <w:r>
        <w:rPr>
          <w:sz w:val="28"/>
          <w:szCs w:val="28"/>
          <w:bdr w:val="none" w:sz="0" w:space="0" w:color="auto" w:frame="1"/>
        </w:rPr>
        <w:t>cấp tỉ</w:t>
      </w:r>
      <w:r w:rsidR="008759F8">
        <w:rPr>
          <w:sz w:val="28"/>
          <w:szCs w:val="28"/>
          <w:bdr w:val="none" w:sz="0" w:space="0" w:color="auto" w:frame="1"/>
        </w:rPr>
        <w:t>nh</w:t>
      </w:r>
      <w:r w:rsidR="00042E57">
        <w:rPr>
          <w:sz w:val="28"/>
          <w:szCs w:val="28"/>
          <w:bdr w:val="none" w:sz="0" w:space="0" w:color="auto" w:frame="1"/>
        </w:rPr>
        <w:t xml:space="preserve">; </w:t>
      </w:r>
      <w:r w:rsidRPr="00D11112">
        <w:rPr>
          <w:sz w:val="28"/>
          <w:szCs w:val="28"/>
          <w:bdr w:val="none" w:sz="0" w:space="0" w:color="auto" w:frame="1"/>
        </w:rPr>
        <w:t xml:space="preserve">Ủy ban nhân dân các huyện, thị xã, thành phố và Ủy ban nhân dân các xã, phường, thị trấn trên địa bàn tỉnh đã xác định việc đánh giá, phân loại kết quả thực hiện công tác dân vận chính quyền là một trong những </w:t>
      </w:r>
      <w:r>
        <w:rPr>
          <w:sz w:val="28"/>
          <w:szCs w:val="28"/>
          <w:bdr w:val="none" w:sz="0" w:space="0" w:color="auto" w:frame="1"/>
        </w:rPr>
        <w:t xml:space="preserve">nhiệm vụ quan trọng </w:t>
      </w:r>
      <w:r w:rsidRPr="00D11112">
        <w:rPr>
          <w:sz w:val="28"/>
          <w:szCs w:val="28"/>
          <w:bdr w:val="none" w:sz="0" w:space="0" w:color="auto" w:frame="1"/>
        </w:rPr>
        <w:t xml:space="preserve">của cơ quan, đơn vị. Vì vậy, ngay từ đầu năm, các cơ quan, đơn vị, địa phương đã quán triệt trong đảng viên, cán bộ, công chức, viên chức và người lao động thực hiện tốt các chủ trương, đường lối của Đảng, chính sách, pháp luật của nhà nước và xem công tác vận động quần chúng </w:t>
      </w:r>
      <w:r w:rsidR="005D17CA">
        <w:rPr>
          <w:sz w:val="28"/>
          <w:szCs w:val="28"/>
          <w:bdr w:val="none" w:sz="0" w:space="0" w:color="auto" w:frame="1"/>
        </w:rPr>
        <w:t>N</w:t>
      </w:r>
      <w:r w:rsidRPr="00D11112">
        <w:rPr>
          <w:sz w:val="28"/>
          <w:szCs w:val="28"/>
          <w:bdr w:val="none" w:sz="0" w:space="0" w:color="auto" w:frame="1"/>
        </w:rPr>
        <w:t>hân dân là một trong những nhiệm vụ quan trọng của cơ quan, đơn vị, địa phương.</w:t>
      </w:r>
    </w:p>
    <w:p w:rsidR="00621A65" w:rsidRPr="00D11112" w:rsidRDefault="008543E4" w:rsidP="00104D4D">
      <w:pPr>
        <w:widowControl w:val="0"/>
        <w:spacing w:before="80" w:after="80" w:line="240" w:lineRule="auto"/>
        <w:ind w:firstLine="567"/>
        <w:jc w:val="both"/>
        <w:rPr>
          <w:sz w:val="28"/>
          <w:szCs w:val="28"/>
          <w:lang w:eastAsia="vi-VN"/>
        </w:rPr>
      </w:pPr>
      <w:r>
        <w:rPr>
          <w:sz w:val="28"/>
          <w:szCs w:val="28"/>
          <w:bdr w:val="none" w:sz="0" w:space="0" w:color="auto" w:frame="1"/>
        </w:rPr>
        <w:t>Nhìn chung, các s</w:t>
      </w:r>
      <w:r w:rsidR="00621A65" w:rsidRPr="00D11112">
        <w:rPr>
          <w:sz w:val="28"/>
          <w:szCs w:val="28"/>
          <w:bdr w:val="none" w:sz="0" w:space="0" w:color="auto" w:frame="1"/>
        </w:rPr>
        <w:t xml:space="preserve">ở, ban, ngành, địa phương đã bám sát 10 tiêu chí trong bộ tiêu chí đánh giá về công tác dân vận để triển khai thực hiện. Nhiều tiêu chí được các cơ quan, đơn vị, địa phương thực hiện tốt như: Tiêu chí số 01 (về tổ chức triển khai Chương trình hành động số 24-CTr/TU ngày 27/8/2013 của Ban Thường vụ Tỉnh ủy và Kế hoạch số 43/KH-UBND ngày 13/01/2014 của UBND tỉnh về tăng cường đổi mới sự lãnh đạo của Đảng đối với công tác dân vận chính quyền trong </w:t>
      </w:r>
      <w:r w:rsidR="00621A65" w:rsidRPr="00D11112">
        <w:rPr>
          <w:sz w:val="28"/>
          <w:szCs w:val="28"/>
          <w:bdr w:val="none" w:sz="0" w:space="0" w:color="auto" w:frame="1"/>
        </w:rPr>
        <w:lastRenderedPageBreak/>
        <w:t xml:space="preserve">tình hình mới), trong đó UBND tỉnh xác định năm 2017 và năm 2018 là năm thực hiện công tác dân vận chính quyền; tiêu chí số 3 (về tổ chức triển khai thực hiện có hiệu quả công tác cải cách hành chính); tiêu chí số 7 (phát động các phong trào dân vận, mô hình dân vận khéo); tiêu chí số 9 (về tiếp xúc, đối thoại trực tiếp với </w:t>
      </w:r>
      <w:r>
        <w:rPr>
          <w:sz w:val="28"/>
          <w:szCs w:val="28"/>
          <w:bdr w:val="none" w:sz="0" w:space="0" w:color="auto" w:frame="1"/>
        </w:rPr>
        <w:t>N</w:t>
      </w:r>
      <w:r w:rsidR="00621A65" w:rsidRPr="00D11112">
        <w:rPr>
          <w:sz w:val="28"/>
          <w:szCs w:val="28"/>
          <w:bdr w:val="none" w:sz="0" w:space="0" w:color="auto" w:frame="1"/>
        </w:rPr>
        <w:t xml:space="preserve">hân dân) được thể hiện rõ trong quá trình xử lý các vấn đề nóng trên địa bàn tỉnh như: Việc đền bù cho người dân vùng biển sau sự cố môi trường biển, </w:t>
      </w:r>
      <w:r w:rsidR="00621A65">
        <w:rPr>
          <w:sz w:val="28"/>
          <w:szCs w:val="28"/>
          <w:bdr w:val="none" w:sz="0" w:space="0" w:color="auto" w:frame="1"/>
        </w:rPr>
        <w:t xml:space="preserve">công tác </w:t>
      </w:r>
      <w:r w:rsidR="00621A65" w:rsidRPr="00D11112">
        <w:rPr>
          <w:sz w:val="28"/>
          <w:szCs w:val="28"/>
          <w:bdr w:val="none" w:sz="0" w:space="0" w:color="auto" w:frame="1"/>
        </w:rPr>
        <w:t xml:space="preserve">giải phóng mặt bằng </w:t>
      </w:r>
      <w:r w:rsidR="00621A65">
        <w:rPr>
          <w:sz w:val="28"/>
          <w:szCs w:val="28"/>
          <w:bdr w:val="none" w:sz="0" w:space="0" w:color="auto" w:frame="1"/>
        </w:rPr>
        <w:t xml:space="preserve">cho </w:t>
      </w:r>
      <w:r w:rsidR="00621A65" w:rsidRPr="00D11112">
        <w:rPr>
          <w:sz w:val="28"/>
          <w:szCs w:val="28"/>
          <w:bdr w:val="none" w:sz="0" w:space="0" w:color="auto" w:frame="1"/>
        </w:rPr>
        <w:t xml:space="preserve">các </w:t>
      </w:r>
      <w:r w:rsidR="00621A65">
        <w:rPr>
          <w:sz w:val="28"/>
          <w:szCs w:val="28"/>
          <w:bdr w:val="none" w:sz="0" w:space="0" w:color="auto" w:frame="1"/>
        </w:rPr>
        <w:t xml:space="preserve">công trình, </w:t>
      </w:r>
      <w:r w:rsidR="00621A65" w:rsidRPr="00D11112">
        <w:rPr>
          <w:sz w:val="28"/>
          <w:szCs w:val="28"/>
          <w:bdr w:val="none" w:sz="0" w:space="0" w:color="auto" w:frame="1"/>
        </w:rPr>
        <w:t>dự án.</w:t>
      </w:r>
      <w:r w:rsidR="00621A65" w:rsidRPr="00D11112">
        <w:rPr>
          <w:sz w:val="28"/>
          <w:szCs w:val="28"/>
          <w:lang w:eastAsia="vi-VN"/>
        </w:rPr>
        <w:tab/>
      </w:r>
    </w:p>
    <w:p w:rsidR="00621A65" w:rsidRPr="00D11112" w:rsidRDefault="00621A65" w:rsidP="00104D4D">
      <w:pPr>
        <w:widowControl w:val="0"/>
        <w:spacing w:before="80" w:after="80" w:line="240" w:lineRule="auto"/>
        <w:ind w:firstLine="567"/>
        <w:jc w:val="both"/>
        <w:rPr>
          <w:sz w:val="28"/>
          <w:szCs w:val="28"/>
          <w:shd w:val="clear" w:color="auto" w:fill="FFFFFF"/>
        </w:rPr>
      </w:pPr>
      <w:r w:rsidRPr="00D11112">
        <w:rPr>
          <w:sz w:val="28"/>
          <w:szCs w:val="28"/>
          <w:shd w:val="clear" w:color="auto" w:fill="FFFFFF"/>
        </w:rPr>
        <w:t xml:space="preserve">Các tiêu chí </w:t>
      </w:r>
      <w:r w:rsidR="00A108F3">
        <w:rPr>
          <w:sz w:val="28"/>
          <w:szCs w:val="28"/>
          <w:shd w:val="clear" w:color="auto" w:fill="FFFFFF"/>
        </w:rPr>
        <w:t xml:space="preserve">đã </w:t>
      </w:r>
      <w:r w:rsidRPr="00D11112">
        <w:rPr>
          <w:sz w:val="28"/>
          <w:szCs w:val="28"/>
          <w:shd w:val="clear" w:color="auto" w:fill="FFFFFF"/>
        </w:rPr>
        <w:t>cơ bản xem xét đánh giá toàn diện các hoạt động quản lý nhà nước trên các lĩnh vực kinh tế, văn hóa - xã hội, quốc phòng - an ninh của cơ quan, đơn vị, địa phương.</w:t>
      </w:r>
    </w:p>
    <w:p w:rsidR="00621A65" w:rsidRPr="00F42802" w:rsidRDefault="00621A65" w:rsidP="00104D4D">
      <w:pPr>
        <w:widowControl w:val="0"/>
        <w:spacing w:before="80" w:after="80" w:line="240" w:lineRule="auto"/>
        <w:ind w:firstLine="567"/>
        <w:jc w:val="both"/>
        <w:rPr>
          <w:b/>
          <w:sz w:val="28"/>
          <w:szCs w:val="28"/>
          <w:bdr w:val="none" w:sz="0" w:space="0" w:color="auto" w:frame="1"/>
        </w:rPr>
      </w:pPr>
      <w:r w:rsidRPr="00F42802">
        <w:rPr>
          <w:b/>
          <w:sz w:val="28"/>
          <w:szCs w:val="28"/>
          <w:bdr w:val="none" w:sz="0" w:space="0" w:color="auto" w:frame="1"/>
        </w:rPr>
        <w:t>2. Kết quả đánh giá, phân loạ</w:t>
      </w:r>
      <w:r w:rsidR="00F42802">
        <w:rPr>
          <w:b/>
          <w:sz w:val="28"/>
          <w:szCs w:val="28"/>
          <w:bdr w:val="none" w:sz="0" w:space="0" w:color="auto" w:frame="1"/>
        </w:rPr>
        <w:t>i năm 2017, 2018</w:t>
      </w:r>
    </w:p>
    <w:p w:rsidR="00621A65" w:rsidRPr="00C7092B" w:rsidRDefault="00621A65" w:rsidP="00104D4D">
      <w:pPr>
        <w:widowControl w:val="0"/>
        <w:tabs>
          <w:tab w:val="left" w:pos="2836"/>
        </w:tabs>
        <w:spacing w:before="80" w:after="80" w:line="240" w:lineRule="auto"/>
        <w:ind w:firstLine="567"/>
        <w:jc w:val="both"/>
        <w:rPr>
          <w:i/>
          <w:sz w:val="28"/>
          <w:szCs w:val="28"/>
          <w:bdr w:val="none" w:sz="0" w:space="0" w:color="auto" w:frame="1"/>
        </w:rPr>
      </w:pPr>
      <w:r w:rsidRPr="00C7092B">
        <w:rPr>
          <w:i/>
          <w:sz w:val="28"/>
          <w:szCs w:val="28"/>
          <w:bdr w:val="none" w:sz="0" w:space="0" w:color="auto" w:frame="1"/>
        </w:rPr>
        <w:t xml:space="preserve">2.1. Năm 2017: </w:t>
      </w:r>
      <w:r w:rsidRPr="00C7092B">
        <w:rPr>
          <w:i/>
          <w:sz w:val="28"/>
          <w:szCs w:val="28"/>
          <w:bdr w:val="none" w:sz="0" w:space="0" w:color="auto" w:frame="1"/>
        </w:rPr>
        <w:tab/>
      </w:r>
    </w:p>
    <w:p w:rsidR="00621A65" w:rsidRPr="00D11112" w:rsidRDefault="00621A65" w:rsidP="00104D4D">
      <w:pPr>
        <w:widowControl w:val="0"/>
        <w:spacing w:before="80" w:after="80" w:line="240" w:lineRule="auto"/>
        <w:ind w:firstLine="720"/>
        <w:jc w:val="both"/>
        <w:rPr>
          <w:b/>
          <w:sz w:val="28"/>
          <w:szCs w:val="28"/>
          <w:bdr w:val="none" w:sz="0" w:space="0" w:color="auto" w:frame="1"/>
        </w:rPr>
      </w:pPr>
      <w:r>
        <w:rPr>
          <w:i/>
          <w:sz w:val="28"/>
          <w:szCs w:val="28"/>
          <w:bdr w:val="none" w:sz="0" w:space="0" w:color="auto" w:frame="1"/>
        </w:rPr>
        <w:t xml:space="preserve">- </w:t>
      </w:r>
      <w:r w:rsidRPr="00D11112">
        <w:rPr>
          <w:i/>
          <w:sz w:val="28"/>
          <w:szCs w:val="28"/>
          <w:bdr w:val="none" w:sz="0" w:space="0" w:color="auto" w:frame="1"/>
        </w:rPr>
        <w:t>Cấp xã:</w:t>
      </w:r>
      <w:r w:rsidRPr="00D11112">
        <w:rPr>
          <w:sz w:val="28"/>
          <w:szCs w:val="28"/>
          <w:bdr w:val="none" w:sz="0" w:space="0" w:color="auto" w:frame="1"/>
        </w:rPr>
        <w:t xml:space="preserve"> </w:t>
      </w:r>
    </w:p>
    <w:p w:rsidR="00621A65" w:rsidRPr="00D11112" w:rsidRDefault="00621A65" w:rsidP="00104D4D">
      <w:pPr>
        <w:widowControl w:val="0"/>
        <w:spacing w:before="80" w:after="80" w:line="240" w:lineRule="auto"/>
        <w:ind w:firstLine="567"/>
        <w:jc w:val="both"/>
        <w:rPr>
          <w:sz w:val="28"/>
          <w:szCs w:val="28"/>
          <w:bdr w:val="none" w:sz="0" w:space="0" w:color="auto" w:frame="1"/>
        </w:rPr>
      </w:pPr>
      <w:r>
        <w:rPr>
          <w:sz w:val="28"/>
          <w:szCs w:val="28"/>
          <w:bdr w:val="none" w:sz="0" w:space="0" w:color="auto" w:frame="1"/>
        </w:rPr>
        <w:tab/>
        <w:t xml:space="preserve">+ </w:t>
      </w:r>
      <w:r w:rsidRPr="00D11112">
        <w:rPr>
          <w:sz w:val="28"/>
          <w:szCs w:val="28"/>
          <w:bdr w:val="none" w:sz="0" w:space="0" w:color="auto" w:frame="1"/>
        </w:rPr>
        <w:t>Hoàn thành xuất sắc:</w:t>
      </w:r>
      <w:r w:rsidRPr="00D11112">
        <w:rPr>
          <w:sz w:val="28"/>
          <w:szCs w:val="28"/>
          <w:bdr w:val="none" w:sz="0" w:space="0" w:color="auto" w:frame="1"/>
        </w:rPr>
        <w:tab/>
        <w:t>70/159, chiếm 44%</w:t>
      </w:r>
    </w:p>
    <w:p w:rsidR="00621A65" w:rsidRPr="00D11112" w:rsidRDefault="00621A65" w:rsidP="00104D4D">
      <w:pPr>
        <w:widowControl w:val="0"/>
        <w:spacing w:before="80" w:after="80" w:line="240" w:lineRule="auto"/>
        <w:ind w:firstLine="720"/>
        <w:jc w:val="both"/>
        <w:rPr>
          <w:sz w:val="28"/>
          <w:szCs w:val="28"/>
          <w:bdr w:val="none" w:sz="0" w:space="0" w:color="auto" w:frame="1"/>
        </w:rPr>
      </w:pPr>
      <w:r>
        <w:rPr>
          <w:sz w:val="28"/>
          <w:szCs w:val="28"/>
          <w:bdr w:val="none" w:sz="0" w:space="0" w:color="auto" w:frame="1"/>
        </w:rPr>
        <w:t xml:space="preserve">+ </w:t>
      </w:r>
      <w:r w:rsidRPr="00D11112">
        <w:rPr>
          <w:sz w:val="28"/>
          <w:szCs w:val="28"/>
          <w:bdr w:val="none" w:sz="0" w:space="0" w:color="auto" w:frame="1"/>
        </w:rPr>
        <w:t>Hoàn thành tốt:</w:t>
      </w:r>
      <w:r w:rsidRPr="00D11112">
        <w:rPr>
          <w:sz w:val="28"/>
          <w:szCs w:val="28"/>
          <w:bdr w:val="none" w:sz="0" w:space="0" w:color="auto" w:frame="1"/>
        </w:rPr>
        <w:tab/>
      </w:r>
      <w:r w:rsidRPr="00D11112">
        <w:rPr>
          <w:sz w:val="28"/>
          <w:szCs w:val="28"/>
          <w:bdr w:val="none" w:sz="0" w:space="0" w:color="auto" w:frame="1"/>
        </w:rPr>
        <w:tab/>
        <w:t>62/159, chiếm 39%</w:t>
      </w:r>
    </w:p>
    <w:p w:rsidR="00621A65" w:rsidRPr="00D11112" w:rsidRDefault="00621A65" w:rsidP="00104D4D">
      <w:pPr>
        <w:widowControl w:val="0"/>
        <w:spacing w:before="80" w:after="80" w:line="240" w:lineRule="auto"/>
        <w:ind w:firstLine="567"/>
        <w:jc w:val="both"/>
        <w:rPr>
          <w:sz w:val="28"/>
          <w:szCs w:val="28"/>
          <w:bdr w:val="none" w:sz="0" w:space="0" w:color="auto" w:frame="1"/>
        </w:rPr>
      </w:pPr>
      <w:r>
        <w:rPr>
          <w:sz w:val="28"/>
          <w:szCs w:val="28"/>
          <w:bdr w:val="none" w:sz="0" w:space="0" w:color="auto" w:frame="1"/>
        </w:rPr>
        <w:tab/>
        <w:t xml:space="preserve">+ </w:t>
      </w:r>
      <w:r w:rsidRPr="00D11112">
        <w:rPr>
          <w:sz w:val="28"/>
          <w:szCs w:val="28"/>
          <w:bdr w:val="none" w:sz="0" w:space="0" w:color="auto" w:frame="1"/>
        </w:rPr>
        <w:t xml:space="preserve">Hoàn thành: </w:t>
      </w:r>
      <w:r w:rsidRPr="00D11112">
        <w:rPr>
          <w:sz w:val="28"/>
          <w:szCs w:val="28"/>
          <w:bdr w:val="none" w:sz="0" w:space="0" w:color="auto" w:frame="1"/>
        </w:rPr>
        <w:tab/>
      </w:r>
      <w:r w:rsidRPr="00D11112">
        <w:rPr>
          <w:sz w:val="28"/>
          <w:szCs w:val="28"/>
          <w:bdr w:val="none" w:sz="0" w:space="0" w:color="auto" w:frame="1"/>
        </w:rPr>
        <w:tab/>
        <w:t>27/159, chiếm 17%</w:t>
      </w:r>
    </w:p>
    <w:p w:rsidR="00621A65" w:rsidRPr="00D11112" w:rsidRDefault="00621A65" w:rsidP="00104D4D">
      <w:pPr>
        <w:widowControl w:val="0"/>
        <w:spacing w:before="80" w:after="80" w:line="240" w:lineRule="auto"/>
        <w:ind w:firstLine="720"/>
        <w:jc w:val="both"/>
        <w:rPr>
          <w:sz w:val="28"/>
          <w:szCs w:val="28"/>
          <w:bdr w:val="none" w:sz="0" w:space="0" w:color="auto" w:frame="1"/>
        </w:rPr>
      </w:pPr>
      <w:r>
        <w:rPr>
          <w:sz w:val="28"/>
          <w:szCs w:val="28"/>
          <w:bdr w:val="none" w:sz="0" w:space="0" w:color="auto" w:frame="1"/>
        </w:rPr>
        <w:t>+ Không hoàn thành:</w:t>
      </w:r>
      <w:r>
        <w:rPr>
          <w:sz w:val="28"/>
          <w:szCs w:val="28"/>
          <w:bdr w:val="none" w:sz="0" w:space="0" w:color="auto" w:frame="1"/>
        </w:rPr>
        <w:tab/>
        <w:t xml:space="preserve">    Không</w:t>
      </w:r>
    </w:p>
    <w:p w:rsidR="00621A65" w:rsidRPr="00D11112" w:rsidRDefault="00621A65" w:rsidP="00104D4D">
      <w:pPr>
        <w:widowControl w:val="0"/>
        <w:spacing w:before="80" w:after="80" w:line="240" w:lineRule="auto"/>
        <w:ind w:firstLine="720"/>
        <w:jc w:val="both"/>
        <w:rPr>
          <w:sz w:val="28"/>
          <w:szCs w:val="28"/>
          <w:bdr w:val="none" w:sz="0" w:space="0" w:color="auto" w:frame="1"/>
        </w:rPr>
      </w:pPr>
      <w:r>
        <w:rPr>
          <w:i/>
          <w:sz w:val="28"/>
          <w:szCs w:val="28"/>
          <w:bdr w:val="none" w:sz="0" w:space="0" w:color="auto" w:frame="1"/>
        </w:rPr>
        <w:t xml:space="preserve">- </w:t>
      </w:r>
      <w:r w:rsidRPr="00D11112">
        <w:rPr>
          <w:i/>
          <w:sz w:val="28"/>
          <w:szCs w:val="28"/>
          <w:bdr w:val="none" w:sz="0" w:space="0" w:color="auto" w:frame="1"/>
        </w:rPr>
        <w:t>Cấp huyện:</w:t>
      </w:r>
      <w:r w:rsidRPr="00D11112">
        <w:rPr>
          <w:sz w:val="28"/>
          <w:szCs w:val="28"/>
          <w:bdr w:val="none" w:sz="0" w:space="0" w:color="auto" w:frame="1"/>
        </w:rPr>
        <w:t xml:space="preserve"> có 04/08 UBND cấp huyện đánh giá</w:t>
      </w:r>
      <w:r w:rsidRPr="00D11112">
        <w:rPr>
          <w:rFonts w:eastAsia="Arial"/>
          <w:color w:val="000000"/>
          <w:sz w:val="28"/>
          <w:szCs w:val="28"/>
          <w:vertAlign w:val="superscript"/>
        </w:rPr>
        <w:t xml:space="preserve">. </w:t>
      </w:r>
      <w:r w:rsidRPr="00D11112">
        <w:rPr>
          <w:sz w:val="28"/>
          <w:szCs w:val="28"/>
          <w:bdr w:val="none" w:sz="0" w:space="0" w:color="auto" w:frame="1"/>
        </w:rPr>
        <w:t>Kết quả phân loại: Hoàn thành xuất sắc: 03 (TP Đồng Hới, huyện Quảng Trạch và huyện Tuyên Hóa tự nhận); Hoàn thành tốt: 01 (huyện Lệ Thủy). Các huyện còn lại (Quảng Ninh, Bố Trạch, Ba Đồn và Minh Hóa) chỉ đánh giá, phân loại ở cấp xã, không đánh giá phân loại ở cấp huyện.</w:t>
      </w:r>
    </w:p>
    <w:p w:rsidR="00621A65" w:rsidRPr="00D11112" w:rsidRDefault="00621A65" w:rsidP="00104D4D">
      <w:pPr>
        <w:widowControl w:val="0"/>
        <w:spacing w:before="80" w:after="80" w:line="240" w:lineRule="auto"/>
        <w:ind w:firstLine="567"/>
        <w:jc w:val="both"/>
        <w:rPr>
          <w:sz w:val="28"/>
          <w:szCs w:val="28"/>
          <w:bdr w:val="none" w:sz="0" w:space="0" w:color="auto" w:frame="1"/>
        </w:rPr>
      </w:pPr>
      <w:r>
        <w:rPr>
          <w:i/>
          <w:sz w:val="28"/>
          <w:szCs w:val="28"/>
          <w:bdr w:val="none" w:sz="0" w:space="0" w:color="auto" w:frame="1"/>
        </w:rPr>
        <w:t>- Sở, ban, ngành c</w:t>
      </w:r>
      <w:r w:rsidRPr="00D11112">
        <w:rPr>
          <w:i/>
          <w:sz w:val="28"/>
          <w:szCs w:val="28"/>
          <w:bdr w:val="none" w:sz="0" w:space="0" w:color="auto" w:frame="1"/>
        </w:rPr>
        <w:t>ấp tỉnh:</w:t>
      </w:r>
      <w:r w:rsidRPr="00D11112">
        <w:rPr>
          <w:sz w:val="28"/>
          <w:szCs w:val="28"/>
          <w:bdr w:val="none" w:sz="0" w:space="0" w:color="auto" w:frame="1"/>
        </w:rPr>
        <w:t xml:space="preserve"> có 09/22 cơ quan QLNN cấp tỉnh (08 cơ quan chuyên môn và Ban Quản lý Khu kinh tế tỉnh) và 02 ĐVSN trực thuộc UBND tỉnh tham gia đánh giá</w:t>
      </w:r>
      <w:r w:rsidRPr="00D11112">
        <w:rPr>
          <w:rFonts w:eastAsia="Arial"/>
          <w:color w:val="000000"/>
          <w:sz w:val="28"/>
          <w:szCs w:val="28"/>
          <w:vertAlign w:val="superscript"/>
        </w:rPr>
        <w:t xml:space="preserve">. </w:t>
      </w:r>
      <w:r w:rsidRPr="00D11112">
        <w:rPr>
          <w:sz w:val="28"/>
          <w:szCs w:val="28"/>
          <w:bdr w:val="none" w:sz="0" w:space="0" w:color="auto" w:frame="1"/>
        </w:rPr>
        <w:t>Kết quả phân loại: hoàn thành xuất sắc: 08 cơ quan, đơn vị; hoàn thành tốt: 01 cơ quan, đơn vị và hoàn thành: 02 cơ quan, đơn vị.</w:t>
      </w:r>
    </w:p>
    <w:p w:rsidR="00621A65" w:rsidRPr="00D6745A" w:rsidRDefault="00621A65" w:rsidP="00104D4D">
      <w:pPr>
        <w:widowControl w:val="0"/>
        <w:spacing w:before="80" w:after="80" w:line="240" w:lineRule="auto"/>
        <w:ind w:firstLine="720"/>
        <w:jc w:val="both"/>
        <w:rPr>
          <w:i/>
          <w:sz w:val="28"/>
          <w:szCs w:val="28"/>
          <w:bdr w:val="none" w:sz="0" w:space="0" w:color="auto" w:frame="1"/>
        </w:rPr>
      </w:pPr>
      <w:r w:rsidRPr="00D6745A">
        <w:rPr>
          <w:i/>
          <w:sz w:val="28"/>
          <w:szCs w:val="28"/>
          <w:bdr w:val="none" w:sz="0" w:space="0" w:color="auto" w:frame="1"/>
        </w:rPr>
        <w:t>2.2. Năm 2018:</w:t>
      </w:r>
    </w:p>
    <w:p w:rsidR="00621A65" w:rsidRPr="00D6745A" w:rsidRDefault="00621A65" w:rsidP="00104D4D">
      <w:pPr>
        <w:widowControl w:val="0"/>
        <w:tabs>
          <w:tab w:val="center" w:pos="4819"/>
        </w:tabs>
        <w:spacing w:before="80" w:after="80" w:line="240" w:lineRule="auto"/>
        <w:ind w:firstLine="567"/>
        <w:jc w:val="both"/>
        <w:rPr>
          <w:i/>
          <w:sz w:val="28"/>
          <w:szCs w:val="28"/>
          <w:bdr w:val="none" w:sz="0" w:space="0" w:color="auto" w:frame="1"/>
        </w:rPr>
      </w:pPr>
      <w:r w:rsidRPr="00D6745A">
        <w:rPr>
          <w:i/>
          <w:sz w:val="28"/>
          <w:szCs w:val="28"/>
          <w:bdr w:val="none" w:sz="0" w:space="0" w:color="auto" w:frame="1"/>
        </w:rPr>
        <w:t xml:space="preserve"> - Cấp xã:</w:t>
      </w:r>
      <w:r w:rsidRPr="00D6745A">
        <w:rPr>
          <w:i/>
          <w:sz w:val="28"/>
          <w:szCs w:val="28"/>
          <w:bdr w:val="none" w:sz="0" w:space="0" w:color="auto" w:frame="1"/>
        </w:rPr>
        <w:tab/>
      </w:r>
    </w:p>
    <w:p w:rsidR="00621A65" w:rsidRPr="00D11112" w:rsidRDefault="00621A65" w:rsidP="00104D4D">
      <w:pPr>
        <w:widowControl w:val="0"/>
        <w:spacing w:before="80" w:after="80" w:line="240" w:lineRule="auto"/>
        <w:ind w:firstLine="567"/>
        <w:jc w:val="both"/>
        <w:rPr>
          <w:sz w:val="28"/>
          <w:szCs w:val="28"/>
          <w:bdr w:val="none" w:sz="0" w:space="0" w:color="auto" w:frame="1"/>
        </w:rPr>
      </w:pPr>
      <w:r>
        <w:rPr>
          <w:sz w:val="28"/>
          <w:szCs w:val="28"/>
          <w:bdr w:val="none" w:sz="0" w:space="0" w:color="auto" w:frame="1"/>
        </w:rPr>
        <w:tab/>
        <w:t xml:space="preserve">+ </w:t>
      </w:r>
      <w:r w:rsidRPr="00D11112">
        <w:rPr>
          <w:sz w:val="28"/>
          <w:szCs w:val="28"/>
          <w:bdr w:val="none" w:sz="0" w:space="0" w:color="auto" w:frame="1"/>
        </w:rPr>
        <w:t>Hoàn thành xuất sắc:</w:t>
      </w:r>
      <w:r w:rsidRPr="00D11112">
        <w:rPr>
          <w:sz w:val="28"/>
          <w:szCs w:val="28"/>
          <w:bdr w:val="none" w:sz="0" w:space="0" w:color="auto" w:frame="1"/>
        </w:rPr>
        <w:tab/>
        <w:t>89/159, chiếm 56%</w:t>
      </w:r>
    </w:p>
    <w:p w:rsidR="00621A65" w:rsidRPr="00D11112" w:rsidRDefault="00621A65" w:rsidP="00104D4D">
      <w:pPr>
        <w:widowControl w:val="0"/>
        <w:spacing w:before="80" w:after="80" w:line="240" w:lineRule="auto"/>
        <w:ind w:firstLine="720"/>
        <w:jc w:val="both"/>
        <w:rPr>
          <w:sz w:val="28"/>
          <w:szCs w:val="28"/>
          <w:bdr w:val="none" w:sz="0" w:space="0" w:color="auto" w:frame="1"/>
        </w:rPr>
      </w:pPr>
      <w:r>
        <w:rPr>
          <w:sz w:val="28"/>
          <w:szCs w:val="28"/>
          <w:bdr w:val="none" w:sz="0" w:space="0" w:color="auto" w:frame="1"/>
        </w:rPr>
        <w:t xml:space="preserve">+ </w:t>
      </w:r>
      <w:r w:rsidRPr="00D11112">
        <w:rPr>
          <w:sz w:val="28"/>
          <w:szCs w:val="28"/>
          <w:bdr w:val="none" w:sz="0" w:space="0" w:color="auto" w:frame="1"/>
        </w:rPr>
        <w:t>Hoàn thành tốt:</w:t>
      </w:r>
      <w:r w:rsidRPr="00D11112">
        <w:rPr>
          <w:sz w:val="28"/>
          <w:szCs w:val="28"/>
          <w:bdr w:val="none" w:sz="0" w:space="0" w:color="auto" w:frame="1"/>
        </w:rPr>
        <w:tab/>
      </w:r>
      <w:r w:rsidRPr="00D11112">
        <w:rPr>
          <w:sz w:val="28"/>
          <w:szCs w:val="28"/>
          <w:bdr w:val="none" w:sz="0" w:space="0" w:color="auto" w:frame="1"/>
        </w:rPr>
        <w:tab/>
        <w:t>45/159, chiếm 28,3%</w:t>
      </w:r>
    </w:p>
    <w:p w:rsidR="00621A65" w:rsidRPr="00D11112" w:rsidRDefault="00621A65" w:rsidP="00104D4D">
      <w:pPr>
        <w:widowControl w:val="0"/>
        <w:spacing w:before="80" w:after="80" w:line="240" w:lineRule="auto"/>
        <w:ind w:firstLine="567"/>
        <w:jc w:val="both"/>
        <w:rPr>
          <w:sz w:val="28"/>
          <w:szCs w:val="28"/>
          <w:bdr w:val="none" w:sz="0" w:space="0" w:color="auto" w:frame="1"/>
        </w:rPr>
      </w:pPr>
      <w:r>
        <w:rPr>
          <w:sz w:val="28"/>
          <w:szCs w:val="28"/>
          <w:bdr w:val="none" w:sz="0" w:space="0" w:color="auto" w:frame="1"/>
        </w:rPr>
        <w:tab/>
        <w:t xml:space="preserve">+ </w:t>
      </w:r>
      <w:r w:rsidRPr="00D11112">
        <w:rPr>
          <w:sz w:val="28"/>
          <w:szCs w:val="28"/>
          <w:bdr w:val="none" w:sz="0" w:space="0" w:color="auto" w:frame="1"/>
        </w:rPr>
        <w:t xml:space="preserve">Hoàn thành: </w:t>
      </w:r>
      <w:r w:rsidRPr="00D11112">
        <w:rPr>
          <w:sz w:val="28"/>
          <w:szCs w:val="28"/>
          <w:bdr w:val="none" w:sz="0" w:space="0" w:color="auto" w:frame="1"/>
        </w:rPr>
        <w:tab/>
      </w:r>
      <w:r w:rsidRPr="00D11112">
        <w:rPr>
          <w:sz w:val="28"/>
          <w:szCs w:val="28"/>
          <w:bdr w:val="none" w:sz="0" w:space="0" w:color="auto" w:frame="1"/>
        </w:rPr>
        <w:tab/>
        <w:t>25/159, chiếm 15,7%</w:t>
      </w:r>
    </w:p>
    <w:p w:rsidR="00621A65" w:rsidRPr="00D11112" w:rsidRDefault="00621A65" w:rsidP="00104D4D">
      <w:pPr>
        <w:widowControl w:val="0"/>
        <w:spacing w:before="80" w:after="80" w:line="240" w:lineRule="auto"/>
        <w:ind w:firstLine="720"/>
        <w:jc w:val="both"/>
        <w:rPr>
          <w:sz w:val="28"/>
          <w:szCs w:val="28"/>
          <w:bdr w:val="none" w:sz="0" w:space="0" w:color="auto" w:frame="1"/>
        </w:rPr>
      </w:pPr>
      <w:r>
        <w:rPr>
          <w:sz w:val="28"/>
          <w:szCs w:val="28"/>
          <w:bdr w:val="none" w:sz="0" w:space="0" w:color="auto" w:frame="1"/>
        </w:rPr>
        <w:t>+ Không hoàn thành:</w:t>
      </w:r>
      <w:r>
        <w:rPr>
          <w:sz w:val="28"/>
          <w:szCs w:val="28"/>
          <w:bdr w:val="none" w:sz="0" w:space="0" w:color="auto" w:frame="1"/>
        </w:rPr>
        <w:tab/>
        <w:t xml:space="preserve">  Không</w:t>
      </w:r>
    </w:p>
    <w:p w:rsidR="00621A65" w:rsidRPr="00D11112" w:rsidRDefault="00621A65" w:rsidP="00104D4D">
      <w:pPr>
        <w:widowControl w:val="0"/>
        <w:spacing w:before="80" w:after="80" w:line="240" w:lineRule="auto"/>
        <w:ind w:firstLine="720"/>
        <w:jc w:val="both"/>
        <w:rPr>
          <w:sz w:val="28"/>
          <w:szCs w:val="28"/>
          <w:bdr w:val="none" w:sz="0" w:space="0" w:color="auto" w:frame="1"/>
        </w:rPr>
      </w:pPr>
      <w:r>
        <w:rPr>
          <w:i/>
          <w:sz w:val="28"/>
          <w:szCs w:val="28"/>
          <w:bdr w:val="none" w:sz="0" w:space="0" w:color="auto" w:frame="1"/>
        </w:rPr>
        <w:t xml:space="preserve">- </w:t>
      </w:r>
      <w:r w:rsidRPr="00D11112">
        <w:rPr>
          <w:i/>
          <w:sz w:val="28"/>
          <w:szCs w:val="28"/>
          <w:bdr w:val="none" w:sz="0" w:space="0" w:color="auto" w:frame="1"/>
        </w:rPr>
        <w:t>Cấp huyện:</w:t>
      </w:r>
      <w:r w:rsidRPr="00D11112">
        <w:rPr>
          <w:sz w:val="28"/>
          <w:szCs w:val="28"/>
          <w:bdr w:val="none" w:sz="0" w:space="0" w:color="auto" w:frame="1"/>
        </w:rPr>
        <w:t xml:space="preserve"> có 07/08 UBND cấp huyện đánh giá</w:t>
      </w:r>
      <w:r w:rsidRPr="00D11112">
        <w:rPr>
          <w:rFonts w:eastAsia="Arial"/>
          <w:color w:val="000000"/>
          <w:sz w:val="28"/>
          <w:szCs w:val="28"/>
          <w:vertAlign w:val="superscript"/>
        </w:rPr>
        <w:t xml:space="preserve">. </w:t>
      </w:r>
      <w:r w:rsidRPr="00D11112">
        <w:rPr>
          <w:sz w:val="28"/>
          <w:szCs w:val="28"/>
          <w:bdr w:val="none" w:sz="0" w:space="0" w:color="auto" w:frame="1"/>
        </w:rPr>
        <w:t>Kết quả phân loại: Hoàn thành xuất sắc: 04 (TP Đồng Hới, huyện Lệ Thủy, huyện Quảng Trạch và Thị xã Ba Đồn tự nhận); Hoàn thành tốt: 02 (huyện Tuyên Hóa và huyện Bố Trạch). Quảng Ninh không đánh giá phân loại. Riêng huyện Minh Hóa năm 2018, đoàn kiểm tra của tỉnh đã kiểm tra và xếp loại khá.</w:t>
      </w:r>
    </w:p>
    <w:p w:rsidR="00621A65" w:rsidRPr="00D11112" w:rsidRDefault="00621A65" w:rsidP="00104D4D">
      <w:pPr>
        <w:widowControl w:val="0"/>
        <w:spacing w:before="80" w:after="80" w:line="240" w:lineRule="auto"/>
        <w:ind w:firstLine="720"/>
        <w:jc w:val="both"/>
        <w:rPr>
          <w:sz w:val="28"/>
          <w:szCs w:val="28"/>
          <w:bdr w:val="none" w:sz="0" w:space="0" w:color="auto" w:frame="1"/>
        </w:rPr>
      </w:pPr>
      <w:r>
        <w:rPr>
          <w:i/>
          <w:sz w:val="28"/>
          <w:szCs w:val="28"/>
          <w:bdr w:val="none" w:sz="0" w:space="0" w:color="auto" w:frame="1"/>
        </w:rPr>
        <w:t xml:space="preserve">- </w:t>
      </w:r>
      <w:r w:rsidRPr="00D11112">
        <w:rPr>
          <w:i/>
          <w:sz w:val="28"/>
          <w:szCs w:val="28"/>
          <w:bdr w:val="none" w:sz="0" w:space="0" w:color="auto" w:frame="1"/>
        </w:rPr>
        <w:t>C</w:t>
      </w:r>
      <w:r>
        <w:rPr>
          <w:i/>
          <w:sz w:val="28"/>
          <w:szCs w:val="28"/>
          <w:bdr w:val="none" w:sz="0" w:space="0" w:color="auto" w:frame="1"/>
        </w:rPr>
        <w:t>ác sở, ban, ngành c</w:t>
      </w:r>
      <w:r w:rsidRPr="00D11112">
        <w:rPr>
          <w:i/>
          <w:sz w:val="28"/>
          <w:szCs w:val="28"/>
          <w:bdr w:val="none" w:sz="0" w:space="0" w:color="auto" w:frame="1"/>
        </w:rPr>
        <w:t>ấp tỉnh:</w:t>
      </w:r>
      <w:r w:rsidRPr="00D11112">
        <w:rPr>
          <w:sz w:val="28"/>
          <w:szCs w:val="28"/>
          <w:bdr w:val="none" w:sz="0" w:space="0" w:color="auto" w:frame="1"/>
        </w:rPr>
        <w:t xml:space="preserve"> có 19/22 sở, ban, ngành và 04 quan ĐVSN trực thuộc UBND tỉnh tham gia đánh giá</w:t>
      </w:r>
      <w:r w:rsidRPr="00D11112">
        <w:rPr>
          <w:rFonts w:eastAsia="Arial"/>
          <w:color w:val="000000"/>
          <w:sz w:val="28"/>
          <w:szCs w:val="28"/>
          <w:vertAlign w:val="superscript"/>
        </w:rPr>
        <w:t xml:space="preserve">. </w:t>
      </w:r>
      <w:r w:rsidRPr="00D11112">
        <w:rPr>
          <w:sz w:val="28"/>
          <w:szCs w:val="28"/>
          <w:bdr w:val="none" w:sz="0" w:space="0" w:color="auto" w:frame="1"/>
        </w:rPr>
        <w:t>Kết quả phân loại: hoàn thành xuất sắc: 16 cơ quan, đơn vị; hoàn thành tốt: 07 cơ quan, đơn vị</w:t>
      </w:r>
      <w:r>
        <w:rPr>
          <w:sz w:val="28"/>
          <w:szCs w:val="28"/>
          <w:bdr w:val="none" w:sz="0" w:space="0" w:color="auto" w:frame="1"/>
        </w:rPr>
        <w:t>.</w:t>
      </w:r>
    </w:p>
    <w:p w:rsidR="00621A65" w:rsidRPr="006452C4" w:rsidRDefault="00621A65" w:rsidP="00104D4D">
      <w:pPr>
        <w:widowControl w:val="0"/>
        <w:spacing w:before="80" w:after="80" w:line="240" w:lineRule="auto"/>
        <w:ind w:firstLine="567"/>
        <w:jc w:val="both"/>
        <w:rPr>
          <w:b/>
          <w:sz w:val="28"/>
          <w:szCs w:val="28"/>
          <w:bdr w:val="none" w:sz="0" w:space="0" w:color="auto" w:frame="1"/>
          <w:lang w:val="it-IT"/>
        </w:rPr>
      </w:pPr>
      <w:r w:rsidRPr="006452C4">
        <w:rPr>
          <w:b/>
          <w:sz w:val="28"/>
          <w:szCs w:val="28"/>
          <w:bdr w:val="none" w:sz="0" w:space="0" w:color="auto" w:frame="1"/>
          <w:lang w:val="it-IT"/>
        </w:rPr>
        <w:lastRenderedPageBreak/>
        <w:t>3. Những hạn chế, khó khăn vướng mắc trong triển khai thực hiện, đánh giá phân loạ</w:t>
      </w:r>
      <w:r w:rsidR="006452C4">
        <w:rPr>
          <w:b/>
          <w:sz w:val="28"/>
          <w:szCs w:val="28"/>
          <w:bdr w:val="none" w:sz="0" w:space="0" w:color="auto" w:frame="1"/>
          <w:lang w:val="it-IT"/>
        </w:rPr>
        <w:t>i theo tiêu chí</w:t>
      </w:r>
    </w:p>
    <w:p w:rsidR="00621A65" w:rsidRPr="00D11112" w:rsidRDefault="00621A65" w:rsidP="008759F8">
      <w:pPr>
        <w:widowControl w:val="0"/>
        <w:spacing w:before="80" w:after="80" w:line="240" w:lineRule="auto"/>
        <w:ind w:firstLine="567"/>
        <w:jc w:val="both"/>
        <w:rPr>
          <w:sz w:val="28"/>
          <w:szCs w:val="28"/>
          <w:lang w:eastAsia="vi-VN"/>
        </w:rPr>
      </w:pPr>
      <w:r>
        <w:rPr>
          <w:sz w:val="28"/>
          <w:szCs w:val="28"/>
          <w:lang w:val="it-IT" w:eastAsia="vi-VN"/>
        </w:rPr>
        <w:t xml:space="preserve">- </w:t>
      </w:r>
      <w:r w:rsidRPr="00D11112">
        <w:rPr>
          <w:sz w:val="28"/>
          <w:szCs w:val="28"/>
          <w:lang w:val="it-IT" w:eastAsia="vi-VN"/>
        </w:rPr>
        <w:t>M</w:t>
      </w:r>
      <w:r w:rsidRPr="00D11112">
        <w:rPr>
          <w:sz w:val="28"/>
          <w:szCs w:val="28"/>
          <w:lang w:val="vi-VN" w:eastAsia="vi-VN"/>
        </w:rPr>
        <w:t>ột số</w:t>
      </w:r>
      <w:r w:rsidRPr="00D11112">
        <w:rPr>
          <w:sz w:val="28"/>
          <w:szCs w:val="28"/>
          <w:lang w:val="it-IT" w:eastAsia="vi-VN"/>
        </w:rPr>
        <w:t xml:space="preserve"> cơ quan, đơn vị, địa phương tổ chức, triển khai</w:t>
      </w:r>
      <w:r w:rsidRPr="00D11112">
        <w:rPr>
          <w:sz w:val="28"/>
          <w:szCs w:val="28"/>
          <w:lang w:val="vi-VN" w:eastAsia="vi-VN"/>
        </w:rPr>
        <w:t xml:space="preserve"> </w:t>
      </w:r>
      <w:r w:rsidRPr="00D11112">
        <w:rPr>
          <w:sz w:val="28"/>
          <w:szCs w:val="28"/>
          <w:lang w:eastAsia="vi-VN"/>
        </w:rPr>
        <w:t>thực hiện Quyết định số 3367/QĐ-UBND</w:t>
      </w:r>
      <w:r w:rsidR="008759F8" w:rsidRPr="008759F8">
        <w:rPr>
          <w:sz w:val="28"/>
          <w:szCs w:val="28"/>
          <w:lang w:val="it-IT" w:eastAsia="vi-VN"/>
        </w:rPr>
        <w:t xml:space="preserve"> </w:t>
      </w:r>
      <w:r w:rsidR="008759F8" w:rsidRPr="00D11112">
        <w:rPr>
          <w:sz w:val="28"/>
          <w:szCs w:val="28"/>
          <w:lang w:val="it-IT" w:eastAsia="vi-VN"/>
        </w:rPr>
        <w:t>chưa nghiêm túc</w:t>
      </w:r>
      <w:r w:rsidR="008759F8">
        <w:rPr>
          <w:sz w:val="28"/>
          <w:szCs w:val="28"/>
          <w:lang w:val="it-IT" w:eastAsia="vi-VN"/>
        </w:rPr>
        <w:t>.</w:t>
      </w:r>
    </w:p>
    <w:p w:rsidR="00621A65" w:rsidRPr="00D11112" w:rsidRDefault="00621A65" w:rsidP="00104D4D">
      <w:pPr>
        <w:widowControl w:val="0"/>
        <w:spacing w:before="80" w:after="80" w:line="240" w:lineRule="auto"/>
        <w:ind w:firstLine="567"/>
        <w:jc w:val="both"/>
        <w:rPr>
          <w:sz w:val="28"/>
          <w:szCs w:val="28"/>
          <w:lang w:eastAsia="vi-VN"/>
        </w:rPr>
      </w:pPr>
      <w:r>
        <w:rPr>
          <w:sz w:val="28"/>
          <w:szCs w:val="28"/>
          <w:lang w:eastAsia="vi-VN"/>
        </w:rPr>
        <w:t xml:space="preserve">- </w:t>
      </w:r>
      <w:r w:rsidRPr="00D11112">
        <w:rPr>
          <w:sz w:val="28"/>
          <w:szCs w:val="28"/>
          <w:lang w:eastAsia="vi-VN"/>
        </w:rPr>
        <w:t>Việc vận dụng đánh giá các tiêu chí theo Quyết định số 3367/QĐ-UBND đánh giá</w:t>
      </w:r>
      <w:r>
        <w:rPr>
          <w:sz w:val="28"/>
          <w:szCs w:val="28"/>
          <w:lang w:eastAsia="vi-VN"/>
        </w:rPr>
        <w:t xml:space="preserve"> chưa sát</w:t>
      </w:r>
      <w:r w:rsidRPr="00D11112">
        <w:rPr>
          <w:sz w:val="28"/>
          <w:szCs w:val="28"/>
          <w:lang w:eastAsia="vi-VN"/>
        </w:rPr>
        <w:t xml:space="preserve"> đúng với kết quả thực hiện nhiệm vụ của cơ quan, đơn vị, địa phương.</w:t>
      </w:r>
    </w:p>
    <w:p w:rsidR="00621A65" w:rsidRPr="00D11112" w:rsidRDefault="00621A65" w:rsidP="00104D4D">
      <w:pPr>
        <w:widowControl w:val="0"/>
        <w:spacing w:before="80" w:after="80" w:line="240" w:lineRule="auto"/>
        <w:ind w:firstLine="567"/>
        <w:jc w:val="both"/>
        <w:rPr>
          <w:sz w:val="28"/>
          <w:szCs w:val="28"/>
          <w:lang w:eastAsia="vi-VN"/>
        </w:rPr>
      </w:pPr>
      <w:r>
        <w:rPr>
          <w:sz w:val="28"/>
          <w:szCs w:val="28"/>
          <w:lang w:eastAsia="vi-VN"/>
        </w:rPr>
        <w:t xml:space="preserve">- </w:t>
      </w:r>
      <w:r w:rsidRPr="00D11112">
        <w:rPr>
          <w:sz w:val="28"/>
          <w:szCs w:val="28"/>
          <w:lang w:eastAsia="vi-VN"/>
        </w:rPr>
        <w:t>Thực hiện chế độ thông tin báo cáo chưa đúng thời gian quy định, có một số cơ quan, đơn vị, địa phương không thực hiện báo cáo.</w:t>
      </w:r>
    </w:p>
    <w:p w:rsidR="00621A65" w:rsidRPr="00D11112" w:rsidRDefault="00621A65" w:rsidP="00104D4D">
      <w:pPr>
        <w:widowControl w:val="0"/>
        <w:spacing w:before="80" w:after="80" w:line="240" w:lineRule="auto"/>
        <w:ind w:firstLine="567"/>
        <w:jc w:val="both"/>
        <w:rPr>
          <w:sz w:val="28"/>
          <w:szCs w:val="28"/>
          <w:lang w:eastAsia="vi-VN"/>
        </w:rPr>
      </w:pPr>
      <w:r>
        <w:rPr>
          <w:sz w:val="28"/>
          <w:szCs w:val="28"/>
          <w:lang w:eastAsia="vi-VN"/>
        </w:rPr>
        <w:t xml:space="preserve">- </w:t>
      </w:r>
      <w:r w:rsidRPr="00D11112">
        <w:rPr>
          <w:sz w:val="28"/>
          <w:szCs w:val="28"/>
          <w:lang w:eastAsia="vi-VN"/>
        </w:rPr>
        <w:t xml:space="preserve">Đối với cấp huyện chưa </w:t>
      </w:r>
      <w:r w:rsidRPr="00D11112">
        <w:rPr>
          <w:sz w:val="28"/>
          <w:szCs w:val="28"/>
          <w:lang w:val="it-IT" w:eastAsia="vi-VN"/>
        </w:rPr>
        <w:t>triển khai thực hiện</w:t>
      </w:r>
      <w:r>
        <w:rPr>
          <w:sz w:val="28"/>
          <w:szCs w:val="28"/>
          <w:lang w:val="it-IT" w:eastAsia="vi-VN"/>
        </w:rPr>
        <w:t xml:space="preserve"> việc đánh giá, phân loại công tác dân vận chính quyền hàng năm của xã, phường, thị trấn theo các tiêu chí tại quyết định số 3367/QĐ-UBND</w:t>
      </w:r>
      <w:r w:rsidRPr="00D11112">
        <w:rPr>
          <w:sz w:val="28"/>
          <w:szCs w:val="28"/>
          <w:lang w:val="vi-VN" w:eastAsia="vi-VN"/>
        </w:rPr>
        <w:t>.</w:t>
      </w:r>
    </w:p>
    <w:p w:rsidR="00621A65" w:rsidRDefault="00621A65" w:rsidP="00104D4D">
      <w:pPr>
        <w:widowControl w:val="0"/>
        <w:spacing w:before="80" w:after="80" w:line="240" w:lineRule="auto"/>
        <w:ind w:firstLine="567"/>
        <w:jc w:val="both"/>
        <w:rPr>
          <w:sz w:val="28"/>
          <w:szCs w:val="28"/>
          <w:bdr w:val="none" w:sz="0" w:space="0" w:color="auto" w:frame="1"/>
          <w:lang w:val="it-IT"/>
        </w:rPr>
      </w:pPr>
      <w:r>
        <w:rPr>
          <w:sz w:val="28"/>
          <w:szCs w:val="28"/>
          <w:bdr w:val="none" w:sz="0" w:space="0" w:color="auto" w:frame="1"/>
          <w:lang w:val="it-IT"/>
        </w:rPr>
        <w:t xml:space="preserve">- </w:t>
      </w:r>
      <w:r w:rsidRPr="00D11112">
        <w:rPr>
          <w:sz w:val="28"/>
          <w:szCs w:val="28"/>
          <w:bdr w:val="none" w:sz="0" w:space="0" w:color="auto" w:frame="1"/>
          <w:lang w:val="it-IT"/>
        </w:rPr>
        <w:t>Các tiêu chí chưa có tiêu đề cụ thể; một số tiêu chí phạm vi điều chỉnh rộng, khó đánh giá, có sự trùng lắp.</w:t>
      </w:r>
    </w:p>
    <w:p w:rsidR="00621A65" w:rsidRPr="00D11112" w:rsidRDefault="00621A65" w:rsidP="00104D4D">
      <w:pPr>
        <w:widowControl w:val="0"/>
        <w:spacing w:before="80" w:after="80" w:line="240" w:lineRule="auto"/>
        <w:ind w:firstLine="567"/>
        <w:jc w:val="both"/>
        <w:rPr>
          <w:sz w:val="28"/>
          <w:szCs w:val="28"/>
          <w:bdr w:val="none" w:sz="0" w:space="0" w:color="auto" w:frame="1"/>
          <w:lang w:val="it-IT"/>
        </w:rPr>
      </w:pPr>
      <w:r>
        <w:rPr>
          <w:sz w:val="28"/>
          <w:szCs w:val="28"/>
          <w:bdr w:val="none" w:sz="0" w:space="0" w:color="auto" w:frame="1"/>
          <w:lang w:val="it-IT"/>
        </w:rPr>
        <w:t xml:space="preserve">- </w:t>
      </w:r>
      <w:r w:rsidRPr="00D11112">
        <w:rPr>
          <w:sz w:val="28"/>
          <w:szCs w:val="28"/>
          <w:bdr w:val="none" w:sz="0" w:space="0" w:color="auto" w:frame="1"/>
          <w:lang w:val="it-IT"/>
        </w:rPr>
        <w:t xml:space="preserve">Phần lớn các tiêu chí đang còn định tính, chưa </w:t>
      </w:r>
      <w:r>
        <w:rPr>
          <w:sz w:val="28"/>
          <w:szCs w:val="28"/>
          <w:bdr w:val="none" w:sz="0" w:space="0" w:color="auto" w:frame="1"/>
          <w:lang w:val="it-IT"/>
        </w:rPr>
        <w:t xml:space="preserve">cụ thể </w:t>
      </w:r>
      <w:r w:rsidRPr="00D11112">
        <w:rPr>
          <w:sz w:val="28"/>
          <w:szCs w:val="28"/>
          <w:bdr w:val="none" w:sz="0" w:space="0" w:color="auto" w:frame="1"/>
          <w:lang w:val="it-IT"/>
        </w:rPr>
        <w:t xml:space="preserve">nên </w:t>
      </w:r>
      <w:r>
        <w:rPr>
          <w:sz w:val="28"/>
          <w:szCs w:val="28"/>
          <w:bdr w:val="none" w:sz="0" w:space="0" w:color="auto" w:frame="1"/>
          <w:lang w:val="it-IT"/>
        </w:rPr>
        <w:t xml:space="preserve">xác định kết quả thực hiện để </w:t>
      </w:r>
      <w:r w:rsidRPr="00D11112">
        <w:rPr>
          <w:sz w:val="28"/>
          <w:szCs w:val="28"/>
          <w:bdr w:val="none" w:sz="0" w:space="0" w:color="auto" w:frame="1"/>
          <w:lang w:val="it-IT"/>
        </w:rPr>
        <w:t>chấm điểm còn ở mức tương đối</w:t>
      </w:r>
      <w:r>
        <w:rPr>
          <w:sz w:val="28"/>
          <w:szCs w:val="28"/>
          <w:bdr w:val="none" w:sz="0" w:space="0" w:color="auto" w:frame="1"/>
          <w:lang w:val="it-IT"/>
        </w:rPr>
        <w:t>, chưa thực chất</w:t>
      </w:r>
      <w:r w:rsidRPr="00D11112">
        <w:rPr>
          <w:sz w:val="28"/>
          <w:szCs w:val="28"/>
          <w:bdr w:val="none" w:sz="0" w:space="0" w:color="auto" w:frame="1"/>
          <w:lang w:val="it-IT"/>
        </w:rPr>
        <w:t>.</w:t>
      </w:r>
    </w:p>
    <w:p w:rsidR="00621A65" w:rsidRPr="00D11112" w:rsidRDefault="00621A65" w:rsidP="00104D4D">
      <w:pPr>
        <w:widowControl w:val="0"/>
        <w:spacing w:before="80" w:after="80" w:line="240" w:lineRule="auto"/>
        <w:ind w:firstLine="567"/>
        <w:jc w:val="both"/>
        <w:rPr>
          <w:sz w:val="28"/>
          <w:szCs w:val="28"/>
          <w:bdr w:val="none" w:sz="0" w:space="0" w:color="auto" w:frame="1"/>
          <w:lang w:val="it-IT"/>
        </w:rPr>
      </w:pPr>
      <w:r w:rsidRPr="00D11112">
        <w:rPr>
          <w:sz w:val="28"/>
          <w:szCs w:val="28"/>
          <w:bdr w:val="none" w:sz="0" w:space="0" w:color="auto" w:frame="1"/>
          <w:lang w:val="it-IT"/>
        </w:rPr>
        <w:t xml:space="preserve"> </w:t>
      </w:r>
      <w:r>
        <w:rPr>
          <w:sz w:val="28"/>
          <w:szCs w:val="28"/>
          <w:bdr w:val="none" w:sz="0" w:space="0" w:color="auto" w:frame="1"/>
          <w:lang w:val="it-IT"/>
        </w:rPr>
        <w:t xml:space="preserve">- </w:t>
      </w:r>
      <w:r w:rsidRPr="00D11112">
        <w:rPr>
          <w:sz w:val="28"/>
          <w:szCs w:val="28"/>
          <w:bdr w:val="none" w:sz="0" w:space="0" w:color="auto" w:frame="1"/>
          <w:lang w:val="it-IT"/>
        </w:rPr>
        <w:t>Thời gian đánh giá trong tháng 11 hàng năm chưa thống nhất với các quy định về báo cáo tổng kết, đánh giá các lĩnh vực liên quan.</w:t>
      </w:r>
    </w:p>
    <w:p w:rsidR="00621A65" w:rsidRPr="00EE74BC" w:rsidRDefault="00621A65" w:rsidP="00104D4D">
      <w:pPr>
        <w:widowControl w:val="0"/>
        <w:spacing w:before="80" w:after="80" w:line="240" w:lineRule="auto"/>
        <w:ind w:firstLine="567"/>
        <w:jc w:val="both"/>
        <w:rPr>
          <w:sz w:val="28"/>
          <w:szCs w:val="28"/>
          <w:bdr w:val="none" w:sz="0" w:space="0" w:color="auto" w:frame="1"/>
          <w:lang w:val="it-IT"/>
        </w:rPr>
      </w:pPr>
      <w:r>
        <w:rPr>
          <w:sz w:val="28"/>
          <w:szCs w:val="28"/>
          <w:bdr w:val="none" w:sz="0" w:space="0" w:color="auto" w:frame="1"/>
          <w:lang w:val="it-IT"/>
        </w:rPr>
        <w:t xml:space="preserve">- </w:t>
      </w:r>
      <w:r w:rsidRPr="00D11112">
        <w:rPr>
          <w:sz w:val="28"/>
          <w:szCs w:val="28"/>
          <w:bdr w:val="none" w:sz="0" w:space="0" w:color="auto" w:frame="1"/>
          <w:lang w:val="it-IT"/>
        </w:rPr>
        <w:t>Chưa quy định cụ thể quy trình thực hiện, trách nhiệm của các cơ quan liên quan khi tham gia chấm điểm nên quá trình thực hiện chưa đồng bộ, các cơ quan, đơn vị, địa phương trên địa bàn tỉnh đánh giá theo mỗi cách khác nhau.</w:t>
      </w:r>
    </w:p>
    <w:p w:rsidR="00621A65" w:rsidRPr="00D11112" w:rsidRDefault="00621A65" w:rsidP="00104D4D">
      <w:pPr>
        <w:widowControl w:val="0"/>
        <w:shd w:val="clear" w:color="auto" w:fill="FFFFFF"/>
        <w:tabs>
          <w:tab w:val="left" w:pos="7780"/>
        </w:tabs>
        <w:spacing w:before="80" w:after="80" w:line="240" w:lineRule="auto"/>
        <w:ind w:firstLine="720"/>
        <w:jc w:val="both"/>
        <w:rPr>
          <w:b/>
          <w:sz w:val="28"/>
          <w:szCs w:val="28"/>
          <w:lang w:val="fr-FR" w:eastAsia="vi-VN"/>
        </w:rPr>
      </w:pPr>
      <w:r w:rsidRPr="00D11112">
        <w:rPr>
          <w:b/>
          <w:sz w:val="28"/>
          <w:szCs w:val="28"/>
          <w:lang w:val="fr-FR" w:eastAsia="vi-VN"/>
        </w:rPr>
        <w:t>III. NHIỆM VỤ VÀ GIẢI PHÁP</w:t>
      </w:r>
      <w:r w:rsidRPr="00D11112">
        <w:rPr>
          <w:b/>
          <w:sz w:val="28"/>
          <w:szCs w:val="28"/>
          <w:lang w:val="fr-FR" w:eastAsia="vi-VN"/>
        </w:rPr>
        <w:tab/>
      </w:r>
    </w:p>
    <w:p w:rsidR="00621A65" w:rsidRPr="00D11112" w:rsidRDefault="00621A65" w:rsidP="00104D4D">
      <w:pPr>
        <w:widowControl w:val="0"/>
        <w:spacing w:before="80" w:after="80" w:line="240" w:lineRule="auto"/>
        <w:ind w:firstLine="720"/>
        <w:jc w:val="both"/>
        <w:textAlignment w:val="baseline"/>
        <w:rPr>
          <w:bCs/>
          <w:sz w:val="28"/>
          <w:szCs w:val="28"/>
        </w:rPr>
      </w:pPr>
      <w:r w:rsidRPr="00D11112">
        <w:rPr>
          <w:bCs/>
          <w:sz w:val="28"/>
          <w:szCs w:val="28"/>
        </w:rPr>
        <w:t xml:space="preserve">1. </w:t>
      </w:r>
      <w:r w:rsidR="00F83859">
        <w:rPr>
          <w:bCs/>
          <w:sz w:val="28"/>
          <w:szCs w:val="28"/>
        </w:rPr>
        <w:t>H</w:t>
      </w:r>
      <w:r w:rsidRPr="00D11112">
        <w:rPr>
          <w:bCs/>
          <w:sz w:val="28"/>
          <w:szCs w:val="28"/>
        </w:rPr>
        <w:t>oàn chỉnh và ban hành Quyết định</w:t>
      </w:r>
      <w:r>
        <w:rPr>
          <w:bCs/>
          <w:sz w:val="28"/>
          <w:szCs w:val="28"/>
        </w:rPr>
        <w:t xml:space="preserve"> Quy định tiêu chí, thang điểm và phương pháp đánh giá công tác dân vận của các cơ quan, đơn vị sự nghiệp trên địa bàn tỉnh Quảng Bình</w:t>
      </w:r>
      <w:r w:rsidRPr="00D11112">
        <w:rPr>
          <w:bCs/>
          <w:sz w:val="28"/>
          <w:szCs w:val="28"/>
        </w:rPr>
        <w:t xml:space="preserve"> thay thế Quyết định số 3367/QĐ-UBND ngày 26/10/2016 của Ủy ban nhân dân tỉnh.</w:t>
      </w:r>
    </w:p>
    <w:p w:rsidR="00621A65" w:rsidRPr="00D11112" w:rsidRDefault="00621A65" w:rsidP="00104D4D">
      <w:pPr>
        <w:widowControl w:val="0"/>
        <w:spacing w:before="80" w:after="80" w:line="240" w:lineRule="auto"/>
        <w:ind w:firstLine="720"/>
        <w:jc w:val="both"/>
        <w:textAlignment w:val="baseline"/>
        <w:rPr>
          <w:bCs/>
          <w:sz w:val="28"/>
          <w:szCs w:val="28"/>
        </w:rPr>
      </w:pPr>
      <w:r w:rsidRPr="00D11112">
        <w:rPr>
          <w:bCs/>
          <w:sz w:val="28"/>
          <w:szCs w:val="28"/>
        </w:rPr>
        <w:t>2. Tiếp tục tổ chức phổ biến, quán triệt Quyết định về Quy định tiêu chí các chủ trương, chính sách của Đảng pháp luật của Nhà nước về công tác dân vận</w:t>
      </w:r>
      <w:r>
        <w:rPr>
          <w:bCs/>
          <w:sz w:val="28"/>
          <w:szCs w:val="28"/>
        </w:rPr>
        <w:t>.</w:t>
      </w:r>
    </w:p>
    <w:p w:rsidR="00621A65" w:rsidRPr="00D11112" w:rsidRDefault="00621A65" w:rsidP="00104D4D">
      <w:pPr>
        <w:widowControl w:val="0"/>
        <w:spacing w:before="80" w:after="80" w:line="240" w:lineRule="auto"/>
        <w:ind w:firstLine="720"/>
        <w:jc w:val="both"/>
        <w:textAlignment w:val="baseline"/>
        <w:rPr>
          <w:bCs/>
          <w:sz w:val="28"/>
          <w:szCs w:val="28"/>
        </w:rPr>
      </w:pPr>
      <w:r w:rsidRPr="00D11112">
        <w:rPr>
          <w:bCs/>
          <w:sz w:val="28"/>
          <w:szCs w:val="28"/>
        </w:rPr>
        <w:t>3. Duy trì và nâng cao hiệu quả việc xây dựng Kế hoạch về công tác dân vận chính quyền của các cơ quan, đơn vị, địa phương.</w:t>
      </w:r>
    </w:p>
    <w:p w:rsidR="00621A65" w:rsidRPr="00D11112" w:rsidRDefault="00621A65" w:rsidP="00104D4D">
      <w:pPr>
        <w:widowControl w:val="0"/>
        <w:spacing w:before="80" w:after="80" w:line="240" w:lineRule="auto"/>
        <w:ind w:firstLine="720"/>
        <w:jc w:val="both"/>
        <w:textAlignment w:val="baseline"/>
        <w:rPr>
          <w:bCs/>
          <w:sz w:val="28"/>
          <w:szCs w:val="28"/>
        </w:rPr>
      </w:pPr>
      <w:r w:rsidRPr="00D11112">
        <w:rPr>
          <w:bCs/>
          <w:sz w:val="28"/>
          <w:szCs w:val="28"/>
        </w:rPr>
        <w:t>4. Nâng cao trách nhiệm người đứng đầu của các cơ quan,</w:t>
      </w:r>
      <w:r>
        <w:rPr>
          <w:bCs/>
          <w:sz w:val="28"/>
          <w:szCs w:val="28"/>
        </w:rPr>
        <w:t xml:space="preserve"> </w:t>
      </w:r>
      <w:r w:rsidRPr="00D11112">
        <w:rPr>
          <w:bCs/>
          <w:sz w:val="28"/>
          <w:szCs w:val="28"/>
        </w:rPr>
        <w:t>đơn vị, địa phương trong việc tổ chức thực hiện công tác dân vận gắn với thực hiện nhiệm vụ chính trị của cơ quan, đơn vị, địa phương trong việc đánh g</w:t>
      </w:r>
      <w:r>
        <w:rPr>
          <w:bCs/>
          <w:sz w:val="28"/>
          <w:szCs w:val="28"/>
        </w:rPr>
        <w:t>iá, phân loại theo Quyết định.</w:t>
      </w:r>
    </w:p>
    <w:p w:rsidR="00621A65" w:rsidRPr="00D11112" w:rsidRDefault="00621A65" w:rsidP="00104D4D">
      <w:pPr>
        <w:widowControl w:val="0"/>
        <w:spacing w:before="80" w:after="80" w:line="240" w:lineRule="auto"/>
        <w:ind w:firstLine="720"/>
        <w:jc w:val="both"/>
        <w:textAlignment w:val="baseline"/>
        <w:rPr>
          <w:bCs/>
          <w:sz w:val="28"/>
          <w:szCs w:val="28"/>
        </w:rPr>
      </w:pPr>
      <w:r w:rsidRPr="00D11112">
        <w:rPr>
          <w:bCs/>
          <w:sz w:val="28"/>
          <w:szCs w:val="28"/>
        </w:rPr>
        <w:t xml:space="preserve">5. Sở Nội vụ </w:t>
      </w:r>
      <w:r w:rsidR="00417F16">
        <w:rPr>
          <w:bCs/>
          <w:sz w:val="28"/>
          <w:szCs w:val="28"/>
        </w:rPr>
        <w:t xml:space="preserve">chủ trì, </w:t>
      </w:r>
      <w:r w:rsidRPr="00D11112">
        <w:rPr>
          <w:bCs/>
          <w:sz w:val="28"/>
          <w:szCs w:val="28"/>
        </w:rPr>
        <w:t>phối hợp với Ban Dân vận Tỉnh ủy hướng dẫn về quy trình, cách thức tổ chức đánh giá cho các cơ quan, đơn vị, đị</w:t>
      </w:r>
      <w:r w:rsidR="00417F16">
        <w:rPr>
          <w:bCs/>
          <w:sz w:val="28"/>
          <w:szCs w:val="28"/>
        </w:rPr>
        <w:t>a phương; tham mưu UBND tỉnh</w:t>
      </w:r>
      <w:r w:rsidR="00417F16" w:rsidRPr="00417F16">
        <w:rPr>
          <w:sz w:val="28"/>
          <w:szCs w:val="28"/>
          <w:lang w:val="nl-NL"/>
        </w:rPr>
        <w:t xml:space="preserve"> </w:t>
      </w:r>
      <w:r w:rsidR="00417F16" w:rsidRPr="00D11112">
        <w:rPr>
          <w:sz w:val="28"/>
          <w:szCs w:val="28"/>
          <w:lang w:val="nl-NL"/>
        </w:rPr>
        <w:t>tổ chức kiểm tra việc thực hiện công tác dân vận chính quyền, Quy chế dân chủ cơ sở tại các cơ quan, đơn vị, địa phương</w:t>
      </w:r>
      <w:r w:rsidR="008759F8">
        <w:rPr>
          <w:sz w:val="28"/>
          <w:szCs w:val="28"/>
          <w:lang w:val="nl-NL"/>
        </w:rPr>
        <w:t xml:space="preserve">; </w:t>
      </w:r>
      <w:bookmarkStart w:id="0" w:name="_GoBack"/>
      <w:bookmarkEnd w:id="0"/>
      <w:r w:rsidR="00417F16">
        <w:rPr>
          <w:sz w:val="28"/>
          <w:szCs w:val="28"/>
          <w:lang w:val="nl-NL"/>
        </w:rPr>
        <w:t xml:space="preserve">tham mưu đánh giá </w:t>
      </w:r>
      <w:r w:rsidR="00417F16" w:rsidRPr="00D11112">
        <w:rPr>
          <w:sz w:val="28"/>
          <w:szCs w:val="28"/>
          <w:lang w:val="nl-NL"/>
        </w:rPr>
        <w:t>kết quả thực hiện các tiêu chí đánh giá công tác dân vận chính quyền của các cơ quan nhà nước trên địa bàn tỉnh theo quy định.</w:t>
      </w:r>
    </w:p>
    <w:p w:rsidR="00621A65" w:rsidRPr="00D11112" w:rsidRDefault="00621A65" w:rsidP="00104D4D">
      <w:pPr>
        <w:widowControl w:val="0"/>
        <w:spacing w:before="80" w:after="80" w:line="240" w:lineRule="auto"/>
        <w:ind w:firstLine="720"/>
        <w:jc w:val="both"/>
        <w:textAlignment w:val="baseline"/>
        <w:rPr>
          <w:bCs/>
          <w:sz w:val="28"/>
          <w:szCs w:val="28"/>
        </w:rPr>
      </w:pPr>
      <w:r w:rsidRPr="00D11112">
        <w:rPr>
          <w:bCs/>
          <w:sz w:val="28"/>
          <w:szCs w:val="28"/>
        </w:rPr>
        <w:t xml:space="preserve">6. </w:t>
      </w:r>
      <w:r>
        <w:rPr>
          <w:bCs/>
          <w:sz w:val="28"/>
          <w:szCs w:val="28"/>
        </w:rPr>
        <w:t>Tăng cường công tác theo dõi, đô</w:t>
      </w:r>
      <w:r w:rsidRPr="00D11112">
        <w:rPr>
          <w:bCs/>
          <w:sz w:val="28"/>
          <w:szCs w:val="28"/>
        </w:rPr>
        <w:t>n đốc, kiểm tra, tổng hợp, báo cáo kết quả thực hiện Quyết định.</w:t>
      </w:r>
    </w:p>
    <w:p w:rsidR="00621A65" w:rsidRPr="00D11112" w:rsidRDefault="00621A65" w:rsidP="00104D4D">
      <w:pPr>
        <w:widowControl w:val="0"/>
        <w:spacing w:before="80" w:after="80" w:line="240" w:lineRule="auto"/>
        <w:ind w:firstLine="720"/>
        <w:jc w:val="both"/>
        <w:textAlignment w:val="baseline"/>
        <w:rPr>
          <w:bCs/>
          <w:sz w:val="28"/>
          <w:szCs w:val="28"/>
        </w:rPr>
      </w:pPr>
      <w:r w:rsidRPr="00D11112">
        <w:rPr>
          <w:bCs/>
          <w:sz w:val="28"/>
          <w:szCs w:val="28"/>
        </w:rPr>
        <w:lastRenderedPageBreak/>
        <w:t xml:space="preserve">7. Gắn kết quả kiểm tra, đánh giá phân loại vào công tác thi đua, khen thưởng hàng năm. </w:t>
      </w:r>
    </w:p>
    <w:p w:rsidR="00621A65" w:rsidRPr="009009C2" w:rsidRDefault="00621A65" w:rsidP="00104D4D">
      <w:pPr>
        <w:widowControl w:val="0"/>
        <w:spacing w:before="80" w:after="80" w:line="240" w:lineRule="auto"/>
        <w:jc w:val="both"/>
        <w:rPr>
          <w:position w:val="-6"/>
          <w:sz w:val="28"/>
          <w:szCs w:val="28"/>
          <w:lang w:val="nl-NL"/>
        </w:rPr>
      </w:pPr>
      <w:r w:rsidRPr="00D11112">
        <w:rPr>
          <w:sz w:val="28"/>
          <w:szCs w:val="28"/>
          <w:lang w:val="nl-NL"/>
        </w:rPr>
        <w:tab/>
      </w:r>
      <w:r w:rsidRPr="009009C2">
        <w:rPr>
          <w:position w:val="-6"/>
          <w:sz w:val="28"/>
          <w:szCs w:val="28"/>
          <w:lang w:val="nl-NL"/>
        </w:rPr>
        <w:t>Trên đây là kết quả hơn 2 năm tổ chức, triển khai thực hiện Quyết định số 3367/QĐ-UBND ngày 26/10/2016 của Ủy ban nhân dân tỉnh và một số giải pháp thực hiện về công tác dân vận chính quyền trên địa bàn tỉnh Quảng Bình./.</w:t>
      </w:r>
    </w:p>
    <w:p w:rsidR="00621A65" w:rsidRPr="009009C2" w:rsidRDefault="00621A65" w:rsidP="00104D4D">
      <w:pPr>
        <w:widowControl w:val="0"/>
        <w:spacing w:before="120" w:after="120"/>
        <w:jc w:val="both"/>
        <w:rPr>
          <w:sz w:val="2"/>
          <w:szCs w:val="28"/>
          <w:lang w:val="nl-NL"/>
        </w:rPr>
      </w:pPr>
    </w:p>
    <w:tbl>
      <w:tblPr>
        <w:tblW w:w="0" w:type="auto"/>
        <w:tblLook w:val="01E0" w:firstRow="1" w:lastRow="1" w:firstColumn="1" w:lastColumn="1" w:noHBand="0" w:noVBand="0"/>
      </w:tblPr>
      <w:tblGrid>
        <w:gridCol w:w="4594"/>
        <w:gridCol w:w="4694"/>
      </w:tblGrid>
      <w:tr w:rsidR="00621A65" w:rsidRPr="00292E9E" w:rsidTr="00E3698C">
        <w:tc>
          <w:tcPr>
            <w:tcW w:w="4594" w:type="dxa"/>
            <w:hideMark/>
          </w:tcPr>
          <w:p w:rsidR="00621A65" w:rsidRPr="0061253A" w:rsidRDefault="00621A65" w:rsidP="00104D4D">
            <w:pPr>
              <w:widowControl w:val="0"/>
              <w:autoSpaceDE w:val="0"/>
              <w:autoSpaceDN w:val="0"/>
              <w:adjustRightInd w:val="0"/>
              <w:spacing w:after="0" w:line="240" w:lineRule="auto"/>
              <w:jc w:val="both"/>
              <w:rPr>
                <w:rFonts w:eastAsia="Calibri"/>
                <w:b/>
                <w:i/>
                <w:sz w:val="24"/>
                <w:szCs w:val="24"/>
                <w:lang w:val="vi-VN"/>
              </w:rPr>
            </w:pPr>
            <w:r w:rsidRPr="0061253A">
              <w:rPr>
                <w:b/>
                <w:i/>
                <w:sz w:val="24"/>
                <w:szCs w:val="24"/>
                <w:lang w:val="vi-VN"/>
              </w:rPr>
              <w:t>Nơi nhận:</w:t>
            </w:r>
          </w:p>
          <w:p w:rsidR="00621A65" w:rsidRPr="0061253A" w:rsidRDefault="00621A65" w:rsidP="00104D4D">
            <w:pPr>
              <w:widowControl w:val="0"/>
              <w:autoSpaceDE w:val="0"/>
              <w:autoSpaceDN w:val="0"/>
              <w:adjustRightInd w:val="0"/>
              <w:spacing w:after="0" w:line="240" w:lineRule="auto"/>
              <w:jc w:val="both"/>
              <w:rPr>
                <w:sz w:val="22"/>
                <w:lang w:val="nl-NL"/>
              </w:rPr>
            </w:pPr>
            <w:r w:rsidRPr="0061253A">
              <w:rPr>
                <w:sz w:val="22"/>
                <w:lang w:val="nl-NL"/>
              </w:rPr>
              <w:t>- Chủ tịch, các PCT UBND tỉnh;</w:t>
            </w:r>
          </w:p>
          <w:p w:rsidR="00621A65" w:rsidRDefault="00621A65" w:rsidP="00104D4D">
            <w:pPr>
              <w:widowControl w:val="0"/>
              <w:autoSpaceDE w:val="0"/>
              <w:autoSpaceDN w:val="0"/>
              <w:adjustRightInd w:val="0"/>
              <w:spacing w:after="0" w:line="240" w:lineRule="auto"/>
              <w:jc w:val="both"/>
              <w:rPr>
                <w:sz w:val="22"/>
                <w:lang w:val="nl-NL"/>
              </w:rPr>
            </w:pPr>
            <w:r w:rsidRPr="0061253A">
              <w:rPr>
                <w:sz w:val="22"/>
                <w:lang w:val="nl-NL"/>
              </w:rPr>
              <w:t>- Ban Dân vận Tỉnh ủy;</w:t>
            </w:r>
          </w:p>
          <w:p w:rsidR="00FC10BD" w:rsidRPr="0061253A" w:rsidRDefault="00FC10BD" w:rsidP="00104D4D">
            <w:pPr>
              <w:widowControl w:val="0"/>
              <w:autoSpaceDE w:val="0"/>
              <w:autoSpaceDN w:val="0"/>
              <w:adjustRightInd w:val="0"/>
              <w:spacing w:after="0" w:line="240" w:lineRule="auto"/>
              <w:jc w:val="both"/>
              <w:rPr>
                <w:sz w:val="22"/>
                <w:lang w:val="nl-NL"/>
              </w:rPr>
            </w:pPr>
            <w:r>
              <w:rPr>
                <w:sz w:val="22"/>
                <w:lang w:val="nl-NL"/>
              </w:rPr>
              <w:t>- Sở Nội vụ;</w:t>
            </w:r>
          </w:p>
          <w:p w:rsidR="00621A65" w:rsidRPr="0061253A" w:rsidRDefault="00621A65" w:rsidP="00104D4D">
            <w:pPr>
              <w:widowControl w:val="0"/>
              <w:autoSpaceDE w:val="0"/>
              <w:autoSpaceDN w:val="0"/>
              <w:adjustRightInd w:val="0"/>
              <w:spacing w:after="0" w:line="240" w:lineRule="auto"/>
              <w:jc w:val="both"/>
              <w:rPr>
                <w:sz w:val="22"/>
                <w:lang w:val="nl-NL"/>
              </w:rPr>
            </w:pPr>
            <w:r w:rsidRPr="0061253A">
              <w:rPr>
                <w:sz w:val="22"/>
                <w:lang w:val="nl-NL"/>
              </w:rPr>
              <w:t>- Lãnh đạo Văn phòng UBND tỉnh;</w:t>
            </w:r>
          </w:p>
          <w:p w:rsidR="00621A65" w:rsidRPr="00292E9E" w:rsidRDefault="00621A65" w:rsidP="00104D4D">
            <w:pPr>
              <w:widowControl w:val="0"/>
              <w:autoSpaceDE w:val="0"/>
              <w:autoSpaceDN w:val="0"/>
              <w:adjustRightInd w:val="0"/>
              <w:spacing w:after="0" w:line="240" w:lineRule="auto"/>
              <w:jc w:val="both"/>
              <w:rPr>
                <w:sz w:val="28"/>
                <w:szCs w:val="28"/>
              </w:rPr>
            </w:pPr>
            <w:r w:rsidRPr="0061253A">
              <w:rPr>
                <w:sz w:val="22"/>
                <w:lang w:val="vi-VN"/>
              </w:rPr>
              <w:t>- Lưu: VT,</w:t>
            </w:r>
            <w:r w:rsidRPr="0061253A">
              <w:rPr>
                <w:sz w:val="22"/>
              </w:rPr>
              <w:t xml:space="preserve"> </w:t>
            </w:r>
            <w:r w:rsidRPr="0061253A">
              <w:rPr>
                <w:sz w:val="22"/>
                <w:lang w:val="vi-VN"/>
              </w:rPr>
              <w:t>NC</w:t>
            </w:r>
            <w:r w:rsidRPr="0061253A">
              <w:rPr>
                <w:sz w:val="22"/>
              </w:rPr>
              <w:t>.</w:t>
            </w:r>
          </w:p>
        </w:tc>
        <w:tc>
          <w:tcPr>
            <w:tcW w:w="4694" w:type="dxa"/>
          </w:tcPr>
          <w:p w:rsidR="00621A65" w:rsidRPr="00292E9E" w:rsidRDefault="00621A65" w:rsidP="00104D4D">
            <w:pPr>
              <w:widowControl w:val="0"/>
              <w:autoSpaceDE w:val="0"/>
              <w:autoSpaceDN w:val="0"/>
              <w:adjustRightInd w:val="0"/>
              <w:spacing w:after="0" w:line="240" w:lineRule="auto"/>
              <w:jc w:val="center"/>
              <w:rPr>
                <w:rFonts w:eastAsia="Calibri"/>
                <w:b/>
                <w:sz w:val="28"/>
                <w:szCs w:val="28"/>
              </w:rPr>
            </w:pPr>
            <w:r w:rsidRPr="00292E9E">
              <w:rPr>
                <w:b/>
                <w:sz w:val="28"/>
                <w:szCs w:val="28"/>
              </w:rPr>
              <w:t>TM. ỦY BAN NHÂN DÂN</w:t>
            </w:r>
          </w:p>
          <w:p w:rsidR="00621A65" w:rsidRPr="00292E9E" w:rsidRDefault="00621A65" w:rsidP="00104D4D">
            <w:pPr>
              <w:widowControl w:val="0"/>
              <w:autoSpaceDE w:val="0"/>
              <w:autoSpaceDN w:val="0"/>
              <w:adjustRightInd w:val="0"/>
              <w:spacing w:after="0" w:line="240" w:lineRule="auto"/>
              <w:jc w:val="center"/>
              <w:rPr>
                <w:b/>
                <w:sz w:val="28"/>
                <w:szCs w:val="28"/>
              </w:rPr>
            </w:pPr>
            <w:r w:rsidRPr="00292E9E">
              <w:rPr>
                <w:b/>
                <w:sz w:val="28"/>
                <w:szCs w:val="28"/>
              </w:rPr>
              <w:t xml:space="preserve">KT. </w:t>
            </w:r>
            <w:r w:rsidRPr="00292E9E">
              <w:rPr>
                <w:b/>
                <w:sz w:val="28"/>
                <w:szCs w:val="28"/>
                <w:lang w:val="vi-VN"/>
              </w:rPr>
              <w:t>CHỦ TỊCH</w:t>
            </w:r>
          </w:p>
          <w:p w:rsidR="00621A65" w:rsidRPr="00292E9E" w:rsidRDefault="00621A65" w:rsidP="00104D4D">
            <w:pPr>
              <w:widowControl w:val="0"/>
              <w:autoSpaceDE w:val="0"/>
              <w:autoSpaceDN w:val="0"/>
              <w:adjustRightInd w:val="0"/>
              <w:spacing w:after="0" w:line="240" w:lineRule="auto"/>
              <w:jc w:val="center"/>
              <w:rPr>
                <w:b/>
                <w:sz w:val="28"/>
                <w:szCs w:val="28"/>
                <w:lang w:val="vi-VN"/>
              </w:rPr>
            </w:pPr>
            <w:r w:rsidRPr="00292E9E">
              <w:rPr>
                <w:b/>
                <w:sz w:val="28"/>
                <w:szCs w:val="28"/>
              </w:rPr>
              <w:t xml:space="preserve"> PHÓ CHỦ TỊCH</w:t>
            </w:r>
          </w:p>
          <w:p w:rsidR="00621A65" w:rsidRPr="00292E9E" w:rsidRDefault="00621A65" w:rsidP="00104D4D">
            <w:pPr>
              <w:widowControl w:val="0"/>
              <w:tabs>
                <w:tab w:val="left" w:pos="2820"/>
              </w:tabs>
              <w:autoSpaceDE w:val="0"/>
              <w:autoSpaceDN w:val="0"/>
              <w:adjustRightInd w:val="0"/>
              <w:spacing w:after="0" w:line="240" w:lineRule="auto"/>
              <w:rPr>
                <w:b/>
                <w:sz w:val="28"/>
                <w:szCs w:val="28"/>
              </w:rPr>
            </w:pPr>
            <w:r w:rsidRPr="00292E9E">
              <w:rPr>
                <w:b/>
                <w:sz w:val="28"/>
                <w:szCs w:val="28"/>
              </w:rPr>
              <w:t xml:space="preserve"> </w:t>
            </w:r>
          </w:p>
          <w:p w:rsidR="00621A65" w:rsidRPr="00292E9E" w:rsidRDefault="00621A65" w:rsidP="00104D4D">
            <w:pPr>
              <w:widowControl w:val="0"/>
              <w:tabs>
                <w:tab w:val="left" w:pos="2820"/>
              </w:tabs>
              <w:autoSpaceDE w:val="0"/>
              <w:autoSpaceDN w:val="0"/>
              <w:adjustRightInd w:val="0"/>
              <w:spacing w:after="0" w:line="240" w:lineRule="auto"/>
              <w:rPr>
                <w:b/>
                <w:sz w:val="28"/>
                <w:szCs w:val="28"/>
              </w:rPr>
            </w:pPr>
          </w:p>
          <w:p w:rsidR="00621A65" w:rsidRPr="00F03B8D" w:rsidRDefault="00621A65" w:rsidP="00104D4D">
            <w:pPr>
              <w:widowControl w:val="0"/>
              <w:tabs>
                <w:tab w:val="left" w:pos="2820"/>
              </w:tabs>
              <w:autoSpaceDE w:val="0"/>
              <w:autoSpaceDN w:val="0"/>
              <w:adjustRightInd w:val="0"/>
              <w:spacing w:after="0" w:line="240" w:lineRule="auto"/>
              <w:rPr>
                <w:b/>
                <w:sz w:val="18"/>
                <w:szCs w:val="28"/>
              </w:rPr>
            </w:pPr>
          </w:p>
          <w:p w:rsidR="00621A65" w:rsidRDefault="00621A65" w:rsidP="00104D4D">
            <w:pPr>
              <w:widowControl w:val="0"/>
              <w:tabs>
                <w:tab w:val="left" w:pos="2820"/>
              </w:tabs>
              <w:autoSpaceDE w:val="0"/>
              <w:autoSpaceDN w:val="0"/>
              <w:adjustRightInd w:val="0"/>
              <w:spacing w:after="0" w:line="240" w:lineRule="auto"/>
              <w:rPr>
                <w:b/>
                <w:sz w:val="28"/>
                <w:szCs w:val="28"/>
              </w:rPr>
            </w:pPr>
          </w:p>
          <w:p w:rsidR="00621A65" w:rsidRPr="00B90CFF" w:rsidRDefault="00621A65" w:rsidP="00104D4D">
            <w:pPr>
              <w:widowControl w:val="0"/>
              <w:tabs>
                <w:tab w:val="left" w:pos="2820"/>
              </w:tabs>
              <w:autoSpaceDE w:val="0"/>
              <w:autoSpaceDN w:val="0"/>
              <w:adjustRightInd w:val="0"/>
              <w:spacing w:after="0" w:line="240" w:lineRule="auto"/>
              <w:rPr>
                <w:b/>
                <w:sz w:val="8"/>
                <w:szCs w:val="28"/>
              </w:rPr>
            </w:pPr>
          </w:p>
          <w:p w:rsidR="00621A65" w:rsidRPr="00292E9E" w:rsidRDefault="00621A65" w:rsidP="00104D4D">
            <w:pPr>
              <w:widowControl w:val="0"/>
              <w:tabs>
                <w:tab w:val="left" w:pos="2820"/>
              </w:tabs>
              <w:autoSpaceDE w:val="0"/>
              <w:autoSpaceDN w:val="0"/>
              <w:adjustRightInd w:val="0"/>
              <w:spacing w:after="0" w:line="240" w:lineRule="auto"/>
              <w:rPr>
                <w:b/>
                <w:sz w:val="28"/>
                <w:szCs w:val="28"/>
              </w:rPr>
            </w:pPr>
          </w:p>
          <w:p w:rsidR="00621A65" w:rsidRPr="001E5709" w:rsidRDefault="00621A65" w:rsidP="00104D4D">
            <w:pPr>
              <w:widowControl w:val="0"/>
              <w:tabs>
                <w:tab w:val="left" w:pos="2820"/>
              </w:tabs>
              <w:autoSpaceDE w:val="0"/>
              <w:autoSpaceDN w:val="0"/>
              <w:adjustRightInd w:val="0"/>
              <w:spacing w:after="0" w:line="240" w:lineRule="auto"/>
              <w:rPr>
                <w:b/>
                <w:sz w:val="28"/>
                <w:szCs w:val="28"/>
              </w:rPr>
            </w:pPr>
            <w:r w:rsidRPr="00292E9E">
              <w:rPr>
                <w:b/>
                <w:sz w:val="28"/>
                <w:szCs w:val="28"/>
              </w:rPr>
              <w:t xml:space="preserve">                Nguyễn Tiến Hoàng</w:t>
            </w:r>
          </w:p>
        </w:tc>
      </w:tr>
    </w:tbl>
    <w:p w:rsidR="00883DDC" w:rsidRDefault="00883DDC" w:rsidP="00104D4D">
      <w:pPr>
        <w:widowControl w:val="0"/>
      </w:pPr>
    </w:p>
    <w:sectPr w:rsidR="00883DDC" w:rsidSect="00AC3898">
      <w:pgSz w:w="11907" w:h="16840" w:code="9"/>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87" w:rsidRDefault="00D07887" w:rsidP="00621A65">
      <w:pPr>
        <w:spacing w:after="0" w:line="240" w:lineRule="auto"/>
      </w:pPr>
      <w:r>
        <w:separator/>
      </w:r>
    </w:p>
  </w:endnote>
  <w:endnote w:type="continuationSeparator" w:id="0">
    <w:p w:rsidR="00D07887" w:rsidRDefault="00D07887" w:rsidP="0062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87" w:rsidRDefault="00D07887" w:rsidP="00621A65">
      <w:pPr>
        <w:spacing w:after="0" w:line="240" w:lineRule="auto"/>
      </w:pPr>
      <w:r>
        <w:separator/>
      </w:r>
    </w:p>
  </w:footnote>
  <w:footnote w:type="continuationSeparator" w:id="0">
    <w:p w:rsidR="00D07887" w:rsidRDefault="00D07887" w:rsidP="00621A65">
      <w:pPr>
        <w:spacing w:after="0" w:line="240" w:lineRule="auto"/>
      </w:pPr>
      <w:r>
        <w:continuationSeparator/>
      </w:r>
    </w:p>
  </w:footnote>
  <w:footnote w:id="1">
    <w:p w:rsidR="00F652CE" w:rsidRPr="00687AB0" w:rsidRDefault="00F652CE" w:rsidP="00687AB0">
      <w:pPr>
        <w:spacing w:after="0" w:line="240" w:lineRule="auto"/>
        <w:ind w:firstLine="567"/>
        <w:jc w:val="both"/>
        <w:rPr>
          <w:rFonts w:eastAsia="Arial"/>
          <w:color w:val="000000"/>
          <w:sz w:val="18"/>
          <w:szCs w:val="18"/>
        </w:rPr>
      </w:pPr>
      <w:r w:rsidRPr="00687AB0">
        <w:rPr>
          <w:rStyle w:val="FootnoteReference"/>
          <w:sz w:val="18"/>
          <w:szCs w:val="18"/>
        </w:rPr>
        <w:footnoteRef/>
      </w:r>
      <w:r w:rsidRPr="00687AB0">
        <w:rPr>
          <w:sz w:val="18"/>
          <w:szCs w:val="18"/>
        </w:rPr>
        <w:t xml:space="preserve"> </w:t>
      </w:r>
      <w:r w:rsidRPr="00687AB0">
        <w:rPr>
          <w:rFonts w:eastAsia="Arial"/>
          <w:color w:val="000000"/>
          <w:sz w:val="18"/>
          <w:szCs w:val="18"/>
        </w:rPr>
        <w:t xml:space="preserve">Năm 2017: có có 08/22 </w:t>
      </w:r>
      <w:r w:rsidRPr="00687AB0">
        <w:rPr>
          <w:sz w:val="18"/>
          <w:szCs w:val="18"/>
        </w:rPr>
        <w:t xml:space="preserve"> cơ quan QLNN cấp tỉnh và 3/8  </w:t>
      </w:r>
      <w:r w:rsidRPr="00687AB0">
        <w:rPr>
          <w:rFonts w:eastAsia="Arial"/>
          <w:color w:val="000000"/>
          <w:sz w:val="18"/>
          <w:szCs w:val="18"/>
        </w:rPr>
        <w:t xml:space="preserve">huyện TP, TX đã ban hành Kế hoạch thực hiện công tác DVCQ: Ban Dân tộc, Sở KHĐT; Sở Nông nghiệp và PTNT; Sở Nội vụ; Sở Tư pháp; Sở TNMT; VP UBND tỉnh; Ban QLKKT tỉnh; UBND </w:t>
      </w:r>
      <w:r w:rsidR="00E45450">
        <w:rPr>
          <w:rFonts w:eastAsia="Arial"/>
          <w:color w:val="000000"/>
          <w:sz w:val="18"/>
          <w:szCs w:val="18"/>
        </w:rPr>
        <w:t xml:space="preserve">các </w:t>
      </w:r>
      <w:r w:rsidRPr="00687AB0">
        <w:rPr>
          <w:rFonts w:eastAsia="Arial"/>
          <w:color w:val="000000"/>
          <w:sz w:val="18"/>
          <w:szCs w:val="18"/>
        </w:rPr>
        <w:t>huyện</w:t>
      </w:r>
      <w:r w:rsidR="00E45450">
        <w:rPr>
          <w:rFonts w:eastAsia="Arial"/>
          <w:color w:val="000000"/>
          <w:sz w:val="18"/>
          <w:szCs w:val="18"/>
        </w:rPr>
        <w:t>:</w:t>
      </w:r>
      <w:r w:rsidRPr="00687AB0">
        <w:rPr>
          <w:rFonts w:eastAsia="Arial"/>
          <w:color w:val="000000"/>
          <w:sz w:val="18"/>
          <w:szCs w:val="18"/>
        </w:rPr>
        <w:t xml:space="preserve"> Quảng Ninh; Bố Trạch, TX Ba Đồn và TP Đồng Hới. </w:t>
      </w:r>
    </w:p>
    <w:p w:rsidR="00F652CE" w:rsidRPr="00687AB0" w:rsidRDefault="00F652CE" w:rsidP="00687AB0">
      <w:pPr>
        <w:spacing w:after="0" w:line="240" w:lineRule="auto"/>
        <w:ind w:firstLine="567"/>
        <w:jc w:val="both"/>
        <w:rPr>
          <w:sz w:val="18"/>
          <w:szCs w:val="18"/>
        </w:rPr>
      </w:pPr>
      <w:r w:rsidRPr="00687AB0">
        <w:rPr>
          <w:rFonts w:eastAsia="Arial"/>
          <w:color w:val="000000"/>
          <w:sz w:val="18"/>
          <w:szCs w:val="18"/>
        </w:rPr>
        <w:t xml:space="preserve"> Năm 2018: có 11/22 </w:t>
      </w:r>
      <w:r w:rsidRPr="00687AB0">
        <w:rPr>
          <w:sz w:val="18"/>
          <w:szCs w:val="18"/>
        </w:rPr>
        <w:t xml:space="preserve"> cơ quan QLNN cấp tỉnh và 5/8  </w:t>
      </w:r>
      <w:r w:rsidRPr="00687AB0">
        <w:rPr>
          <w:rFonts w:eastAsia="Arial"/>
          <w:color w:val="000000"/>
          <w:sz w:val="18"/>
          <w:szCs w:val="18"/>
        </w:rPr>
        <w:t xml:space="preserve">huyện, TP, TX đã ban hành Kế hoạch thực hiện công tác DVCQ: Sở GTVT; Sở LĐTBXH; Sở Nông nghiệp và PTNT; Sở Nội vụ; Sở Tư pháp; Sở TNMT; Sở VHTT; Sở Xây dựng; Thanh tra tỉnh; VP UBND tỉnh; Ban QLKKT tỉnh; UBND </w:t>
      </w:r>
      <w:r w:rsidR="00026780">
        <w:rPr>
          <w:rFonts w:eastAsia="Arial"/>
          <w:color w:val="000000"/>
          <w:sz w:val="18"/>
          <w:szCs w:val="18"/>
        </w:rPr>
        <w:t xml:space="preserve">các </w:t>
      </w:r>
      <w:r w:rsidRPr="00687AB0">
        <w:rPr>
          <w:rFonts w:eastAsia="Arial"/>
          <w:color w:val="000000"/>
          <w:sz w:val="18"/>
          <w:szCs w:val="18"/>
        </w:rPr>
        <w:t>huyện</w:t>
      </w:r>
      <w:r w:rsidR="00026780">
        <w:rPr>
          <w:rFonts w:eastAsia="Arial"/>
          <w:color w:val="000000"/>
          <w:sz w:val="18"/>
          <w:szCs w:val="18"/>
        </w:rPr>
        <w:t>:</w:t>
      </w:r>
      <w:r w:rsidRPr="00687AB0">
        <w:rPr>
          <w:rFonts w:eastAsia="Arial"/>
          <w:color w:val="000000"/>
          <w:sz w:val="18"/>
          <w:szCs w:val="18"/>
        </w:rPr>
        <w:t xml:space="preserve"> Lệ Thủy; Quảng Ninh; Đồng Hới; Quảng Trạch và TX Ba Đồn.</w:t>
      </w:r>
      <w:r w:rsidRPr="00687AB0">
        <w:rPr>
          <w:sz w:val="18"/>
          <w:szCs w:val="18"/>
        </w:rPr>
        <w:t xml:space="preserve"> </w:t>
      </w:r>
    </w:p>
    <w:p w:rsidR="00F652CE" w:rsidRPr="00687AB0" w:rsidRDefault="00F652CE" w:rsidP="00687AB0">
      <w:pPr>
        <w:spacing w:after="0" w:line="240" w:lineRule="auto"/>
        <w:ind w:firstLine="567"/>
        <w:jc w:val="both"/>
        <w:rPr>
          <w:rFonts w:eastAsia="Arial"/>
          <w:sz w:val="18"/>
          <w:szCs w:val="18"/>
          <w:lang w:val="vi-VN"/>
        </w:rPr>
      </w:pPr>
      <w:r w:rsidRPr="00687AB0">
        <w:rPr>
          <w:sz w:val="18"/>
          <w:szCs w:val="18"/>
        </w:rPr>
        <w:t xml:space="preserve">Năm 2019: có </w:t>
      </w:r>
      <w:r w:rsidRPr="00687AB0">
        <w:rPr>
          <w:rFonts w:eastAsia="Arial"/>
          <w:color w:val="000000"/>
          <w:sz w:val="18"/>
          <w:szCs w:val="18"/>
        </w:rPr>
        <w:t xml:space="preserve">11/22 </w:t>
      </w:r>
      <w:r w:rsidRPr="00687AB0">
        <w:rPr>
          <w:sz w:val="18"/>
          <w:szCs w:val="18"/>
        </w:rPr>
        <w:t xml:space="preserve"> cơ quan QLNN cấp tỉnh và 4/8  </w:t>
      </w:r>
      <w:r w:rsidRPr="00687AB0">
        <w:rPr>
          <w:rFonts w:eastAsia="Arial"/>
          <w:color w:val="000000"/>
          <w:sz w:val="18"/>
          <w:szCs w:val="18"/>
        </w:rPr>
        <w:t xml:space="preserve">huyện, TP, TX đã ban hành Kế hoạch thực hiện công tác DVCQ: Sở KH&amp;ĐT; Sở Nông nghiệp và PTNT; Sở Nội vụ; Sở Ngoại vụ; Sở Tài chính; Sở TNMT; Sở VHTT; Sở Xây dựng; sở Y tế; Thanh tra tỉnh; VP UBND tỉnh; UBND </w:t>
      </w:r>
      <w:r w:rsidR="00026780">
        <w:rPr>
          <w:rFonts w:eastAsia="Arial"/>
          <w:color w:val="000000"/>
          <w:sz w:val="18"/>
          <w:szCs w:val="18"/>
        </w:rPr>
        <w:t xml:space="preserve">các </w:t>
      </w:r>
      <w:r w:rsidRPr="00687AB0">
        <w:rPr>
          <w:rFonts w:eastAsia="Arial"/>
          <w:color w:val="000000"/>
          <w:sz w:val="18"/>
          <w:szCs w:val="18"/>
        </w:rPr>
        <w:t>huyện</w:t>
      </w:r>
      <w:r w:rsidR="00026780">
        <w:rPr>
          <w:rFonts w:eastAsia="Arial"/>
          <w:color w:val="000000"/>
          <w:sz w:val="18"/>
          <w:szCs w:val="18"/>
        </w:rPr>
        <w:t>:</w:t>
      </w:r>
      <w:r w:rsidRPr="00687AB0">
        <w:rPr>
          <w:rFonts w:eastAsia="Arial"/>
          <w:color w:val="000000"/>
          <w:sz w:val="18"/>
          <w:szCs w:val="18"/>
        </w:rPr>
        <w:t xml:space="preserve"> Lệ Thủy; Quảng Ninh; Quảng Trạch và Minh Hóa.</w:t>
      </w:r>
    </w:p>
    <w:p w:rsidR="00F652CE" w:rsidRPr="00687AB0" w:rsidRDefault="00F652CE" w:rsidP="00687AB0">
      <w:pPr>
        <w:pStyle w:val="FootnoteText"/>
        <w:jc w:val="both"/>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65"/>
    <w:rsid w:val="00026780"/>
    <w:rsid w:val="00042E57"/>
    <w:rsid w:val="000A1DA5"/>
    <w:rsid w:val="001026EA"/>
    <w:rsid w:val="00104D4D"/>
    <w:rsid w:val="00113F65"/>
    <w:rsid w:val="001E5709"/>
    <w:rsid w:val="00280960"/>
    <w:rsid w:val="00294A3C"/>
    <w:rsid w:val="0035561A"/>
    <w:rsid w:val="0037106D"/>
    <w:rsid w:val="003D2B74"/>
    <w:rsid w:val="004055B5"/>
    <w:rsid w:val="00417F16"/>
    <w:rsid w:val="00423993"/>
    <w:rsid w:val="004A321B"/>
    <w:rsid w:val="005D17CA"/>
    <w:rsid w:val="005F63A9"/>
    <w:rsid w:val="0061253A"/>
    <w:rsid w:val="00621A65"/>
    <w:rsid w:val="00640284"/>
    <w:rsid w:val="006452C4"/>
    <w:rsid w:val="00683B11"/>
    <w:rsid w:val="00687AB0"/>
    <w:rsid w:val="006E7817"/>
    <w:rsid w:val="0074191B"/>
    <w:rsid w:val="007A5B64"/>
    <w:rsid w:val="007D5149"/>
    <w:rsid w:val="007F7D72"/>
    <w:rsid w:val="008543E4"/>
    <w:rsid w:val="008759F8"/>
    <w:rsid w:val="00883DDC"/>
    <w:rsid w:val="009009C2"/>
    <w:rsid w:val="00A045EA"/>
    <w:rsid w:val="00A108F3"/>
    <w:rsid w:val="00A70B51"/>
    <w:rsid w:val="00AC3898"/>
    <w:rsid w:val="00BB1B62"/>
    <w:rsid w:val="00CB5FA0"/>
    <w:rsid w:val="00D07887"/>
    <w:rsid w:val="00DD378C"/>
    <w:rsid w:val="00DD5039"/>
    <w:rsid w:val="00E45450"/>
    <w:rsid w:val="00E66D66"/>
    <w:rsid w:val="00F03B8D"/>
    <w:rsid w:val="00F16878"/>
    <w:rsid w:val="00F42802"/>
    <w:rsid w:val="00F652CE"/>
    <w:rsid w:val="00F83859"/>
    <w:rsid w:val="00FC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16FD"/>
  <w15:chartTrackingRefBased/>
  <w15:docId w15:val="{4303B858-42C5-443F-9E1F-6BD157EA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Ref,de nota al pie,ftref,Footnote text + 13 pt,Footnote Text1,BearingPoint,16 Point,Superscript 6 Point,fr,Footnote Text Char Char Char Char Char Char Ch Char Char Char Char Char Char C,Footnote + Arial,10 pt"/>
    <w:basedOn w:val="DefaultParagraphFont"/>
    <w:semiHidden/>
    <w:rsid w:val="00621A65"/>
    <w:rPr>
      <w:vertAlign w:val="superscript"/>
    </w:rPr>
  </w:style>
  <w:style w:type="paragraph" w:styleId="FootnoteText">
    <w:name w:val="footnote text"/>
    <w:aliases w:val=" Char9,Char9,Footnote Text Char Char Char Char Char,Footnote Text Char Char Char Char Char Char Ch,Footnote Text Char Char Char Char Char Char Ch Char Char Char,fn, Char2,Footnote Text Char Tegn Cha,single space,FOOTNOTE,Char2"/>
    <w:basedOn w:val="Normal"/>
    <w:link w:val="FootnoteTextChar"/>
    <w:semiHidden/>
    <w:rsid w:val="00621A65"/>
    <w:pPr>
      <w:spacing w:after="0" w:line="240" w:lineRule="auto"/>
    </w:pPr>
    <w:rPr>
      <w:rFonts w:eastAsia="Times New Roman" w:cs="Times New Roman"/>
      <w:sz w:val="20"/>
      <w:szCs w:val="20"/>
    </w:rPr>
  </w:style>
  <w:style w:type="character" w:customStyle="1" w:styleId="FootnoteTextChar">
    <w:name w:val="Footnote Text Char"/>
    <w:aliases w:val=" Char9 Char,Char9 Char,Footnote Text Char Char Char Char Char Char,Footnote Text Char Char Char Char Char Char Ch Char,Footnote Text Char Char Char Char Char Char Ch Char Char Char Char,fn Char, Char2 Char,single space Char,Char2 Char"/>
    <w:basedOn w:val="DefaultParagraphFont"/>
    <w:link w:val="FootnoteText"/>
    <w:semiHidden/>
    <w:rsid w:val="00621A65"/>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Win10-1809</dc:creator>
  <cp:keywords/>
  <dc:description/>
  <cp:lastModifiedBy>Win10-1809</cp:lastModifiedBy>
  <cp:revision>54</cp:revision>
  <dcterms:created xsi:type="dcterms:W3CDTF">2019-08-01T02:12:00Z</dcterms:created>
  <dcterms:modified xsi:type="dcterms:W3CDTF">2019-08-02T06:57:00Z</dcterms:modified>
</cp:coreProperties>
</file>